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y de seguridad por componente, con el estado y el motivo que declara el autor. El Anexo 2 (calidad, en el orden del estándar) y el Anexo 3 (seguridad) listan los mismos atributos e ítems para que el laboratorio los califique.</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aislada y fail-closed. Los modelos corren en infraestructura propia, en un contenedor sin salida a internet, y el agente falla cerrado en cada frontera: lo que no cumple se rechaza antes de generar, escribir o tocar el registro, y el contenedor no arranca si un archivo controlado no coincide con su versión. La auditoría guarda códigos, conteos y hashes, nunca contenido ni datos personales en claro.</w:t>
      </w:r>
    </w:p>
    <w:p>
      <w:r>
        <w:t>• Sistema de demostración sin capacidades detenidas. El sistema corre en el servidor de la facultad, en contenedores desplegados desde el repositorio al cortar cada versión (ADR 0013): el modelo local (gemma4:e4b sobre Ollama) en un contenedor sin salida a internet y el agente sobre Google Workspace D2 con la cuenta de servicio de DSI. Lo que depende de un tercero (plantillas, firmas, política de redes, identidad del personal, unidad compartida de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en el corte del 26/10/2026, versión 0.5.9 (tag agente1-v0.5.9). La nota sobre fechas y estado verificado del anteproyecto conserva el corte del 21/09/2026; cuando uno y otro citan un número, corresponde a su propia fecha, y la revisión de laboratorio evalúa la foto de este anexo.</w:t>
      </w:r>
    </w:p>
    <w:p>
      <w:r>
        <w:t>Demostrado sobre el sistema de demostración. El 23/10/2026, desde el contenedor del servidor y con la cuenta de servicio: smoke de lectura, gacetilla y posts de Instagram y LinkedIn de extremo a extremo con borrador real en la carpeta autorizada (sin modificar nada existente), el circuito completo de HU-012/HU-013 y de HU-014 contra destinos de prueba, el envío real por Gmail a la lista de prueba, el scheduler tomando un insumo de A3 de la pestaña de la planilla, el respaldo en Drive con su restauración, la vuelta atrás de versión y la recuperación ante una caída del proceso. Desde el 26/10 el scheduler corre solo en el servidor y sube el respaldo diario. HU-010 a HU-014 están implementadas dentro del alcance declarado: la gacetilla declara los siete tipos del corpus, dos que generan prosa con prompt propio (difusión de actividad y saludo o efeméride) y cinco que extraen y confirman sin prosa del modelo (crónica de evento, aviso de otra área, convocatoria interna, fallecimiento y newsletter), cada tipo con su forma declarada, su contrato de entrada y su gate, y un renderer único que escribe las partes institucionales fijas, que el modelo nunca escribe (#121); además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forma declarada de los siete tipos de gacetilla y su modo por tipo siguen sin aprobación institucional de la SEU: los archivos de forma están marcados PROVISIONAL_NO_INSTITUCIONAL y la aprobación entra por la validación humana obligatoria (issue #121).</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Los Forms reales de HU-012, HU-013 y HU-014: el circuito completo corre contra destinos de prueba declarados. Gmail está configurado en el servidor con la lista de prueba (envío verificado el 23/10), pero los Forms de pedidos y de decisiones todavía no están definidos. Cuando existan, está previsto que el scheduler atienda el Form de pedidos en cada corrida (issue #149).</w:t>
      </w:r>
    </w:p>
    <w:p>
      <w:r>
        <w:t>• La unidad compartida institucional de D3: el cómputo corre en el servidor de la facultad, pero los recursos de Google siguen siendo los de D2 (issue #100).</w:t>
      </w:r>
    </w:p>
    <w:p>
      <w:r>
        <w:t>• Los niveles verificados de los SLO de disponibilidad, tiempo de atención, aprobación a envío y RPO/RTO: el instrumento de medición existe (issue #88) y el scheduler registra cada corrida desde el 26/10, pero todavía no hay una ventana de operación que medir. La latencia por pieza sí está medida en el servidor.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de HU-011 cerrada en el gate, abierta en la validación. Con el modelo de la demo (gemma4:e4b, issue #51) los posts en redacción libre superan el control de contenido: gacetilla y posts 48/48 en la medición del servidor, y los dos canales generados en vivo desde el contenedor el 23/10/2026. Las mediciones anteriores con llama3.2:3b (1/6) quedaron superadas. Lo que sigue abierto es la validación editorial de la SEU, que entra por la validación humana obligatoria.</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Google Workspace: Plataforma institucional de la FIE sobre la que se apoyan la identidad del agente (una cuenta de servicio de DSI que actúa como la cuenta técnica), los recursos y la auditoría del lado de Google. No es un módulo del agente: se declara aparte porque su seguridad tiene un modelo propio, con riesgos aceptados por DSI.</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Las filas de Seguridad son los ítems de (ciber)seguridad de cada componente, los mismos que lista el Anexo 3; RA (riesgo aceptado) califica un A o un B, y el motivo dice quién lo aceptó y con qué compensación.</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(autenticación) · Identidad y rol del pedido</w:t>
            </w:r>
          </w:p>
        </w:tc>
        <w:tc>
          <w:tcPr>
            <w:tcW w:type="dxa" w:w="2835"/>
          </w:tcPr>
          <w:p>
            <w:r>
              <w:rPr>
                <w:sz w:val="18"/>
              </w:rPr>
              <w:t>A</w:t>
            </w:r>
          </w:p>
        </w:tc>
        <w:tc>
          <w:tcPr>
            <w:tcW w:type="dxa" w:w="2835"/>
          </w:tcPr>
          <w:p>
            <w:r>
              <w:rPr>
                <w:sz w:val="18"/>
              </w:rPr>
              <w:t>El canal de pedidos es un Form restringido al dominio de la FIE con correo verificado; el rol sale del padrón externo y quien no figura recibe el rol centinela no_en_padron, que no está habilitado: el pedido se rechaza y se registra (ADR 0005)</w:t>
            </w:r>
          </w:p>
        </w:tc>
      </w:tr>
      <w:tr>
        <w:tc>
          <w:tcPr>
            <w:tcW w:type="dxa" w:w="2835"/>
          </w:tcPr>
          <w:p>
            <w:r>
              <w:rPr>
                <w:sz w:val="18"/>
              </w:rPr>
              <w:t>Seguridad (confidencialidad) · No persistencia de la prosa del pedido</w:t>
            </w:r>
          </w:p>
        </w:tc>
        <w:tc>
          <w:tcPr>
            <w:tcW w:type="dxa" w:w="2835"/>
          </w:tcPr>
          <w:p>
            <w:r>
              <w:rPr>
                <w:sz w:val="18"/>
              </w:rPr>
              <w:t>A</w:t>
            </w:r>
          </w:p>
        </w:tc>
        <w:tc>
          <w:tcPr>
            <w:tcW w:type="dxa" w:w="2835"/>
          </w:tcPr>
          <w:p>
            <w:r>
              <w:rPr>
                <w:sz w:val="18"/>
              </w:rPr>
              <w:t>La prosa no se guarda: ni en el registro de atendidos, ni en el aviso, ni en el link de repregunta, que usa un identificador institucional determinístico</w:t>
            </w:r>
          </w:p>
        </w:tc>
      </w:tr>
      <w:tr>
        <w:tc>
          <w:tcPr>
            <w:tcW w:type="dxa" w:w="2835"/>
          </w:tcPr>
          <w:p>
            <w:r>
              <w:rPr>
                <w:sz w:val="18"/>
              </w:rPr>
              <w:t>Seguridad (robustez ante entradas no confiables) · La prosa del pedido es dato, nunca instrucción</w:t>
            </w:r>
          </w:p>
        </w:tc>
        <w:tc>
          <w:tcPr>
            <w:tcW w:type="dxa" w:w="2835"/>
          </w:tcPr>
          <w:p>
            <w:r>
              <w:rPr>
                <w:sz w:val="18"/>
              </w:rPr>
              <w:t>A</w:t>
            </w:r>
          </w:p>
        </w:tc>
        <w:tc>
          <w:tcPr>
            <w:tcW w:type="dxa" w:w="2835"/>
          </w:tcPr>
          <w:p>
            <w:r>
              <w:rPr>
                <w:sz w:val="18"/>
              </w:rPr>
              <w:t>Un intento de inyección en la prosa produce una intención válida del catálogo o un rechazo; nunca llega como instrucción al prompt del generador y nunca se persiste en claro (ADR 0001)</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generar_gacetilla (con el tipo de gacetilla como parámetro cerrado, #121), generar_post, generar_plantilla_actividad, emitir_certificados, ajustar_borrador y fuera_de_alcance; generar_newsletter y generar_mail salieron del catálogo: un newsletter es un tipo de gacetilla y un mail es el canal;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(autorización) · Catálogo cerrado de intenciones</w:t>
            </w:r>
          </w:p>
        </w:tc>
        <w:tc>
          <w:tcPr>
            <w:tcW w:type="dxa" w:w="2835"/>
          </w:tcPr>
          <w:p>
            <w:r>
              <w:rPr>
                <w:sz w:val="18"/>
              </w:rPr>
              <w:t>A</w:t>
            </w:r>
          </w:p>
        </w:tc>
        <w:tc>
          <w:tcPr>
            <w:tcW w:type="dxa" w:w="2835"/>
          </w:tcPr>
          <w:p>
            <w:r>
              <w:rPr>
                <w:sz w:val="18"/>
              </w:rPr>
              <w:t>Una solicitud fuera de alcance se rechaza; no se aproxima a la intención más parecida; el contenido de la planilla de actividades no entra a ningún prompt (ADR 0001)</w:t>
            </w:r>
          </w:p>
        </w:tc>
      </w:tr>
      <w:tr>
        <w:tc>
          <w:tcPr>
            <w:tcW w:type="dxa" w:w="2835"/>
          </w:tcPr>
          <w:p>
            <w:r>
              <w:rPr>
                <w:sz w:val="18"/>
              </w:rPr>
              <w:t>Seguridad (trazabilidad) · Registro sin prosa ni identidad en claro</w:t>
            </w:r>
          </w:p>
        </w:tc>
        <w:tc>
          <w:tcPr>
            <w:tcW w:type="dxa" w:w="2835"/>
          </w:tcPr>
          <w:p>
            <w:r>
              <w:rPr>
                <w:sz w:val="18"/>
              </w:rPr>
              <w:t>A</w:t>
            </w:r>
          </w:p>
        </w:tc>
        <w:tc>
          <w:tcPr>
            <w:tcW w:type="dxa" w:w="2835"/>
          </w:tcPr>
          <w:p>
            <w:r>
              <w:rPr>
                <w:sz w:val="18"/>
              </w:rPr>
              <w:t>El registro de interacciones conserva sólo el derivado estructurado y la identidad hasheada; la interacción pendiente guarda lo que produjo el agente, nunca prosa del pedido</w:t>
            </w:r>
          </w:p>
        </w:tc>
      </w:tr>
      <w:tr>
        <w:tc>
          <w:tcPr>
            <w:tcW w:type="dxa" w:w="2835"/>
          </w:tcPr>
          <w:p>
            <w:r>
              <w:rPr>
                <w:sz w:val="18"/>
              </w:rPr>
              <w:t>Seguridad (robustez ante entradas no confiables) · Fallback del intérprete validado contra contrato acotado</w:t>
            </w:r>
          </w:p>
        </w:tc>
        <w:tc>
          <w:tcPr>
            <w:tcW w:type="dxa" w:w="2835"/>
          </w:tcPr>
          <w:p>
            <w:r>
              <w:rPr>
                <w:sz w:val="18"/>
              </w:rPr>
              <w:t>A</w:t>
            </w:r>
          </w:p>
        </w:tc>
        <w:tc>
          <w:tcPr>
            <w:tcW w:type="dxa" w:w="2835"/>
          </w:tcPr>
          <w:p>
            <w:r>
              <w:rPr>
                <w:sz w:val="18"/>
              </w:rPr>
              <w:t>La salida del modelo en el fallback se valida contra un contrato acotado: una salida manipulada no produce una intención inexistente; la que no cumple se descarta; una falla del intérprete no propaga excepción</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la gacetilla declara los siete tipos del corpus, dos que generan prosa con prompt propio (difusion_de_actividad con gacetilla_v8 y saludo_o_efemeride con su prompt) y cinco que extraen y confirman sin prosa del modelo (cronica_de_evento, aviso_de_otra_area, convocatoria_interna, fallecimiento y newsletter), con la forma declarada de cada tipo y un renderer único que escribe las partes institucionales; post (v2 y v3), plantilla de correo por actividad y certificado con línea descriptiva y circuito de lote; los insumos provisionales se declaran y no bajan el estado (#121)</w:t>
            </w:r>
          </w:p>
        </w:tc>
      </w:tr>
      <w:tr>
        <w:tc>
          <w:tcPr>
            <w:tcW w:type="dxa" w:w="2835"/>
          </w:tcPr>
          <w:p>
            <w:r>
              <w:rPr>
                <w:sz w:val="18"/>
              </w:rPr>
              <w:t>Adecuación funcional · Corrección del contenido generado (25059)</w:t>
            </w:r>
          </w:p>
        </w:tc>
        <w:tc>
          <w:tcPr>
            <w:tcW w:type="dxa" w:w="2835"/>
          </w:tcPr>
          <w:p>
            <w:r>
              <w:rPr>
                <w:sz w:val="18"/>
              </w:rPr>
              <w:t>A</w:t>
            </w:r>
          </w:p>
        </w:tc>
        <w:tc>
          <w:tcPr>
            <w:tcW w:type="dxa" w:w="2835"/>
          </w:tcPr>
          <w:p>
            <w:r>
              <w:rPr>
                <w:sz w:val="18"/>
              </w:rPr>
              <w:t>Nivel verificado de conformidad al gate con el modelo de la demo, gemma4:e4b en el servidor sin GPU (#51): gacetilla y posts 48/48, HU-012 y HU-014 18/18, canal 16/16 (criterio Q8: JSON válido con intención correcta). Re-verificado desde el contenedor el 23/10: HU-014 6/6, HU-012 4/4 y canal 8/8, y los posts de Instagram y LinkedIn generados en vivo y conformes. Las mediciones anteriores con llama3.2:3b (HU-011 en redacción libre 1/6) quedaron superadas. La calidad editorial la valida la SEU por la validación humana obligatoria (#56), que no forma parte de este atributo</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 en la gacetilla, el núcleo común del gate valida el largo, los marcadores sin resolver, el vocabulario de proceso y que cada hecho impreso por la forma esté en la pieza, con reglas propias por tipo (sin invitación afirmada en el aviso, nombre confirmado en el fallecimiento, área emisora confirmada) y los tipos que extraen se comparan contra lo confirmado sin intervención del fallback (#121)</w:t>
            </w:r>
          </w:p>
        </w:tc>
      </w:tr>
      <w:tr>
        <w:tc>
          <w:tcPr>
            <w:tcW w:type="dxa" w:w="2835"/>
          </w:tcPr>
          <w:p>
            <w:r>
              <w:rPr>
                <w:sz w:val="18"/>
              </w:rPr>
              <w:t>Seguridad (integridad) · Gate de salida fail-closed</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835"/>
          </w:tcPr>
          <w:p>
            <w:r>
              <w:rPr>
                <w:sz w:val="18"/>
              </w:rPr>
              <w:t>Seguridad (integridad) · Marca de borrador revalidada en el destino</w:t>
            </w:r>
          </w:p>
        </w:tc>
        <w:tc>
          <w:tcPr>
            <w:tcW w:type="dxa" w:w="2835"/>
          </w:tcPr>
          <w:p>
            <w:r>
              <w:rPr>
                <w:sz w:val="18"/>
              </w:rPr>
              <w:t>A</w:t>
            </w:r>
          </w:p>
        </w:tc>
        <w:tc>
          <w:tcPr>
            <w:tcW w:type="dxa" w:w="2835"/>
          </w:tcPr>
          <w:p>
            <w:r>
              <w:rPr>
                <w:sz w:val="18"/>
              </w:rPr>
              <w:t>Todo contenido debe empezar con BORRADOR — NO PUBLICAR; el adapter rechaza cualquier texto sin esa cabecera, aunque se construya por otro camino y se saltee el pipeline</w:t>
            </w:r>
          </w:p>
        </w:tc>
      </w:tr>
      <w:tr>
        <w:tc>
          <w:tcPr>
            <w:tcW w:type="dxa" w:w="2835"/>
          </w:tcPr>
          <w:p>
            <w:r>
              <w:rPr>
                <w:sz w:val="18"/>
              </w:rPr>
              <w:t>Seguridad (disponibilidad) · Modelo local sin salida a internet</w:t>
            </w:r>
          </w:p>
        </w:tc>
        <w:tc>
          <w:tcPr>
            <w:tcW w:type="dxa" w:w="2835"/>
          </w:tcPr>
          <w:p>
            <w:r>
              <w:rPr>
                <w:sz w:val="18"/>
              </w:rPr>
              <w:t>A</w:t>
            </w:r>
          </w:p>
        </w:tc>
        <w:tc>
          <w:tcPr>
            <w:tcW w:type="dxa" w:w="2835"/>
          </w:tcPr>
          <w:p>
            <w:r>
              <w:rPr>
                <w:sz w:val="18"/>
              </w:rPr>
              <w:t>Doble barrera. En código, el adapter de Ollama sólo acepta localhost o una IP de loopback. En el despliegue, Ollama corre en su propio contenedor en la red interna modelo de Docker, que no tiene salida a internet; el agente llega a él por un relay en 127.0.0.1:11434 dentro de su contenedor, así que el control del adapter no se afloja. Verificado en el servidor el 23/10: desde el contenedor de Ollama no hay ruta ni DNS externo</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(autorización) · Fail-closed por tipo y origen</w:t>
            </w:r>
          </w:p>
        </w:tc>
        <w:tc>
          <w:tcPr>
            <w:tcW w:type="dxa" w:w="2835"/>
          </w:tcPr>
          <w:p>
            <w:r>
              <w:rPr>
                <w:sz w:val="18"/>
              </w:rPr>
              <w:t>A</w:t>
            </w:r>
          </w:p>
        </w:tc>
        <w:tc>
          <w:tcPr>
            <w:tcW w:type="dxa" w:w="2835"/>
          </w:tcPr>
          <w:p>
            <w:r>
              <w:rPr>
                <w:sz w:val="18"/>
              </w:rPr>
              <w:t>Un tipo de notificación fuera del catálogo es INVALIDA; un origen no permitido bloquea el envío; una regla NO_MECANIZABLE no se aplica ni se declara cumplida</w:t>
            </w:r>
          </w:p>
        </w:tc>
      </w:tr>
      <w:tr>
        <w:tc>
          <w:tcPr>
            <w:tcW w:type="dxa" w:w="2835"/>
          </w:tcPr>
          <w:p>
            <w:r>
              <w:rPr>
                <w:sz w:val="18"/>
              </w:rPr>
              <w:t>Seguridad (integridad) · Integridad del gate (SLO del 100 %)</w:t>
            </w:r>
          </w:p>
        </w:tc>
        <w:tc>
          <w:tcPr>
            <w:tcW w:type="dxa" w:w="2835"/>
          </w:tcPr>
          <w:p>
            <w:r>
              <w:rPr>
                <w:sz w:val="18"/>
              </w:rPr>
              <w:t>A</w:t>
            </w:r>
          </w:p>
        </w:tc>
        <w:tc>
          <w:tcPr>
            <w:tcW w:type="dxa" w:w="2835"/>
          </w:tcPr>
          <w:p>
            <w:r>
              <w:rPr>
                <w:sz w:val="18"/>
              </w:rPr>
              <w:t>Ninguna pieza no conforme se presenta como conforme; cada regla tiene código de gate y caso negativo; la suite falla si se agrega una regla activa sin regresión</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(autorización) · Buzón propio de sólo lectura</w:t>
            </w:r>
          </w:p>
        </w:tc>
        <w:tc>
          <w:tcPr>
            <w:tcW w:type="dxa" w:w="2835"/>
          </w:tcPr>
          <w:p>
            <w:r>
              <w:rPr>
                <w:sz w:val="18"/>
              </w:rPr>
              <w:t>A</w:t>
            </w:r>
          </w:p>
        </w:tc>
        <w:tc>
          <w:tcPr>
            <w:tcW w:type="dxa" w:w="2835"/>
          </w:tcPr>
          <w:p>
            <w:r>
              <w:rPr>
                <w:sz w:val="18"/>
              </w:rPr>
              <w:t>El buzón se lee con gmail.readonly, sobre el usuario me literal, con exactamente tres endpoints de lectura; no hay modify, trash, send ni labels (ADR 0004)</w:t>
            </w:r>
          </w:p>
        </w:tc>
      </w:tr>
      <w:tr>
        <w:tc>
          <w:tcPr>
            <w:tcW w:type="dxa" w:w="2835"/>
          </w:tcPr>
          <w:p>
            <w:r>
              <w:rPr>
                <w:sz w:val="18"/>
              </w:rPr>
              <w:t>Seguridad (confidencialidad) · Nada se persiste; adjuntos hasheados en memoria</w:t>
            </w:r>
          </w:p>
        </w:tc>
        <w:tc>
          <w:tcPr>
            <w:tcW w:type="dxa" w:w="2835"/>
          </w:tcPr>
          <w:p>
            <w:r>
              <w:rPr>
                <w:sz w:val="18"/>
              </w:rPr>
              <w:t>A</w:t>
            </w:r>
          </w:p>
        </w:tc>
        <w:tc>
          <w:tcPr>
            <w:tcW w:type="dxa" w:w="2835"/>
          </w:tcPr>
          <w:p>
            <w:r>
              <w:rPr>
                <w:sz w:val="18"/>
              </w:rPr>
              <w:t>El informe de control de pagos sale por stdout en JSON ordenado y no se persiste; los adjuntos del buzón se hashean en memoria y el contenido no puede llegar a un modelo (el mensaje no tiene campo para él)</w:t>
            </w:r>
          </w:p>
        </w:tc>
      </w:tr>
      <w:tr>
        <w:tc>
          <w:tcPr>
            <w:tcW w:type="dxa" w:w="2835"/>
          </w:tcPr>
          <w:p>
            <w:r>
              <w:rPr>
                <w:sz w:val="18"/>
              </w:rPr>
              <w:t>Seguridad (integridad) · Situación de pago derivada, sin estado propio</w:t>
            </w:r>
          </w:p>
        </w:tc>
        <w:tc>
          <w:tcPr>
            <w:tcW w:type="dxa" w:w="2835"/>
          </w:tcPr>
          <w:p>
            <w:r>
              <w:rPr>
                <w:sz w:val="18"/>
              </w:rPr>
              <w:t>A</w:t>
            </w:r>
          </w:p>
        </w:tc>
        <w:tc>
          <w:tcPr>
            <w:tcW w:type="dxa" w:w="2835"/>
          </w:tcPr>
          <w:p>
            <w:r>
              <w:rPr>
                <w:sz w:val="18"/>
              </w:rPr>
              <w:t>La situación se recalcula como función pura en cada corrida (ADR 0003); un comprobante presentado nunca cuenta como pago confirmado; una respuesta no asociada se informa sin interpretar su contenido</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(autenticación) · Identidad verificada por Google en el Form de decisiones</w:t>
            </w:r>
          </w:p>
        </w:tc>
        <w:tc>
          <w:tcPr>
            <w:tcW w:type="dxa" w:w="2835"/>
          </w:tcPr>
          <w:p>
            <w:r>
              <w:rPr>
                <w:sz w:val="18"/>
              </w:rPr>
              <w:t>A</w:t>
            </w:r>
          </w:p>
        </w:tc>
        <w:tc>
          <w:tcPr>
            <w:tcW w:type="dxa" w:w="2835"/>
          </w:tcPr>
          <w:p>
            <w:r>
              <w:rPr>
                <w:sz w:val="18"/>
              </w:rPr>
              <w:t>El Form restringe al dominio y recolecta el correo verificado; el rol sale del padrón externo (ADR 0005, ADR 0008)</w:t>
            </w:r>
          </w:p>
        </w:tc>
      </w:tr>
      <w:tr>
        <w:tc>
          <w:tcPr>
            <w:tcW w:type="dxa" w:w="2835"/>
          </w:tcPr>
          <w:p>
            <w:r>
              <w:rPr>
                <w:sz w:val="18"/>
              </w:rPr>
              <w:t>Seguridad (integridad) · Links alterados y objetos inexistentes se rechazan</w:t>
            </w:r>
          </w:p>
        </w:tc>
        <w:tc>
          <w:tcPr>
            <w:tcW w:type="dxa" w:w="2835"/>
          </w:tcPr>
          <w:p>
            <w:r>
              <w:rPr>
                <w:sz w:val="18"/>
              </w:rPr>
              <w:t>A</w:t>
            </w:r>
          </w:p>
        </w:tc>
        <w:tc>
          <w:tcPr>
            <w:tcW w:type="dxa" w:w="2835"/>
          </w:tcPr>
          <w:p>
            <w:r>
              <w:rPr>
                <w:sz w:val="18"/>
              </w:rPr>
              <w:t>Un link alterado en tipo, decisión, objeto o id inexistente produce un rechazo con código estable; un objeto sólo vale si el agente lo declaró pendiente; registrar una decisión no dispara ninguna acción</w:t>
            </w:r>
          </w:p>
        </w:tc>
      </w:tr>
      <w:tr>
        <w:tc>
          <w:tcPr>
            <w:tcW w:type="dxa" w:w="2835"/>
          </w:tcPr>
          <w:p>
            <w:r>
              <w:rPr>
                <w:sz w:val="18"/>
              </w:rPr>
              <w:t>Seguridad (integridad) · La aprobación ata el objeto por sha256</w:t>
            </w:r>
          </w:p>
        </w:tc>
        <w:tc>
          <w:tcPr>
            <w:tcW w:type="dxa" w:w="2835"/>
          </w:tcPr>
          <w:p>
            <w:r>
              <w:rPr>
                <w:sz w:val="18"/>
              </w:rPr>
              <w:t>A</w:t>
            </w:r>
          </w:p>
        </w:tc>
        <w:tc>
          <w:tcPr>
            <w:tcW w:type="dxa" w:w="2835"/>
          </w:tcPr>
          <w:p>
            <w:r>
              <w:rPr>
                <w:sz w:val="18"/>
              </w:rPr>
              <w:t>Editar la lista de cierre o la plantilla cambia el sha256 del objeto y la aprobación previa deja de aplicar; una decisión sobre otro texto, otra actividad u otro rol no aprueba esta línea</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Respaldo diario implementado (#86, ADR 0009) y probado desde el contenedor el 23/10 sobre el estado de un lote de HU-012: 13 archivos respaldados con manifiesto sha256 y restaurados idénticos, sin pisar lo existente. Desde el 23/10 el respaldo va a la carpeta privada de la cuenta técnica en Drive: un respaldo subido, bajado y restaurado idéntico, y desde el 26/10 el scheduler del contenedor lo sube solo una vez por día. La vuelta atrás de versión por la rama deploy también se probó. Observación: los SLO de RPO y RTO no tienen nivel medido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(autorización) · Doble aprobación obligatoria por máquina de estados</w:t>
            </w:r>
          </w:p>
        </w:tc>
        <w:tc>
          <w:tcPr>
            <w:tcW w:type="dxa" w:w="2835"/>
          </w:tcPr>
          <w:p>
            <w:r>
              <w:rPr>
                <w:sz w:val="18"/>
              </w:rPr>
              <w:t>A</w:t>
            </w:r>
          </w:p>
        </w:tc>
        <w:tc>
          <w:tcPr>
            <w:tcW w:type="dxa" w:w="2835"/>
          </w:tcPr>
          <w:p>
            <w:r>
              <w:rPr>
                <w:sz w:val="18"/>
              </w:rPr>
              <w:t>Sin las dos aprobaciones (semántica del RGC y utilitaria del Coordinador) registradas no hay encolado ni entrega; el destino habilitado se compara por tipo exacto, nunca por isinstance</w:t>
            </w:r>
          </w:p>
        </w:tc>
      </w:tr>
      <w:tr>
        <w:tc>
          <w:tcPr>
            <w:tcW w:type="dxa" w:w="2835"/>
          </w:tcPr>
          <w:p>
            <w:r>
              <w:rPr>
                <w:sz w:val="18"/>
              </w:rPr>
              <w:t>Seguridad (autorización) · Lista de prueba del envío</w:t>
            </w:r>
          </w:p>
        </w:tc>
        <w:tc>
          <w:tcPr>
            <w:tcW w:type="dxa" w:w="2835"/>
          </w:tcPr>
          <w:p>
            <w:r>
              <w:rPr>
                <w:sz w:val="18"/>
              </w:rPr>
              <w:t>A</w:t>
            </w:r>
          </w:p>
        </w:tc>
        <w:tc>
          <w:tcPr>
            <w:tcW w:type="dxa" w:w="2835"/>
          </w:tcPr>
          <w:p>
            <w:r>
              <w:rPr>
                <w:sz w:val="18"/>
              </w:rPr>
              <w:t>gmail.send opera cercado por una lista de direcciones de prueba que sale de configuración fuera del repo; un destinatario fuera de la lista se rechaza antes del token y de la red, sin reintento</w:t>
            </w:r>
          </w:p>
        </w:tc>
      </w:tr>
      <w:tr>
        <w:tc>
          <w:tcPr>
            <w:tcW w:type="dxa" w:w="2835"/>
          </w:tcPr>
          <w:p>
            <w:r>
              <w:rPr>
                <w:sz w:val="18"/>
              </w:rPr>
              <w:t>Seguridad (integridad) · Idempotencia durable y reconciliación</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dos creaciones en paralelo producen un solo borrador</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(confidencialidad) · Almacenamiento de credenciales y contraseñas</w:t>
            </w:r>
          </w:p>
        </w:tc>
        <w:tc>
          <w:tcPr>
            <w:tcW w:type="dxa" w:w="2835"/>
          </w:tcPr>
          <w:p>
            <w:r>
              <w:rPr>
                <w:sz w:val="18"/>
              </w:rPr>
              <w:t>No aplica</w:t>
            </w:r>
          </w:p>
        </w:tc>
        <w:tc>
          <w:tcPr>
            <w:tcW w:type="dxa" w:w="2835"/>
          </w:tcPr>
          <w:p>
            <w:r>
              <w:rPr>
                <w:sz w:val="18"/>
              </w:rPr>
              <w:t>No aplica: el sistema no almacena contraseñas ni tiene base de usuarios. La identidad es una cuenta de servicio de Google con delegación y nadie inicia sesión con ella; no hay adapter de base de datos cableado, la persistencia del producto es un puerto en memoria que guarda sólo referencias opacas y hashes, y los reportes rechazan campos sensibles aunque el valor no esté declarado. El único secreto es la clave JSON de la cuenta de servicio, custodiada fuera del repo con chmod 600 (ver «Custodia y transporte del secreto», en Google Workspace)</w:t>
            </w:r>
          </w:p>
        </w:tc>
      </w:tr>
      <w:tr>
        <w:tc>
          <w:tcPr>
            <w:tcW w:type="dxa" w:w="2835"/>
          </w:tcPr>
          <w:p>
            <w:r>
              <w:rPr>
                <w:sz w:val="18"/>
              </w:rPr>
              <w:t>Seguridad (confidencialidad) · Auditoría y reportes sólo de códigos, conteos y hashes</w:t>
            </w:r>
          </w:p>
        </w:tc>
        <w:tc>
          <w:tcPr>
            <w:tcW w:type="dxa" w:w="2835"/>
          </w:tcPr>
          <w:p>
            <w:r>
              <w:rPr>
                <w:sz w:val="18"/>
              </w:rPr>
              <w:t>A</w:t>
            </w:r>
          </w:p>
        </w:tc>
        <w:tc>
          <w:tcPr>
            <w:tcW w:type="dxa" w:w="2835"/>
          </w:tcPr>
          <w:p>
            <w:r>
              <w:rPr>
                <w:sz w:val="18"/>
              </w:rPr>
              <w:t>El reporte de seguridad D2/D3 expone códigos, conteos y hashes opacos; nunca contenido, destinatarios ni cuerpos; rechaza campos sensibles aunque el valor no esté declarado</w:t>
            </w:r>
          </w:p>
        </w:tc>
      </w:tr>
      <w:tr>
        <w:tc>
          <w:tcPr>
            <w:tcW w:type="dxa" w:w="2835"/>
          </w:tcPr>
          <w:p>
            <w:r>
              <w:rPr>
                <w:sz w:val="18"/>
              </w:rPr>
              <w:t>Seguridad (integridad) · Registros durables fail-closed</w:t>
            </w:r>
          </w:p>
        </w:tc>
        <w:tc>
          <w:tcPr>
            <w:tcW w:type="dxa" w:w="2835"/>
          </w:tcPr>
          <w:p>
            <w:r>
              <w:rPr>
                <w:sz w:val="18"/>
              </w:rPr>
              <w:t>A</w:t>
            </w:r>
          </w:p>
        </w:tc>
        <w:tc>
          <w:tcPr>
            <w:tcW w:type="dxa" w:w="2835"/>
          </w:tcPr>
          <w:p>
            <w:r>
              <w:rPr>
                <w:sz w:val="18"/>
              </w:rPr>
              <w:t>Un registro corrupto se trata como ausente y no habilita entrega, o interrumpe la lectura; una clave que no es un hash no elige dónde se 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en vivo (parte A): el 28/09 con OAuth y, desde el 21/10, con la cuenta de servicio de DSI desde el servidor. El 23/10, desde el contenedor: smoke de lectura, gacetilla y posts de Instagram y LinkedIn con Doc real BORRADOR — NO PUBLICAR en la carpeta autorizada, sin tocar nada existente. Insumos de A3 por productor provisional declarado (parte B): el scheduler los toma de la pestaña «Insumos de agentes» de la planilla D2 y escribe el Doc borrador (probado en vivo el 23/10; el scheduler corre solo desde el 26/10). Seam de A2 offline sin transporte ni contrato cerrado, y A4/A5 con sólo contrato candidato (parte C, previstas)</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(autorización) · Allowlist de hosts del plano de datos</w:t>
            </w:r>
          </w:p>
        </w:tc>
        <w:tc>
          <w:tcPr>
            <w:tcW w:type="dxa" w:w="2835"/>
          </w:tcPr>
          <w:p>
            <w:r>
              <w:rPr>
                <w:sz w:val="18"/>
              </w:rPr>
              <w:t>A</w:t>
            </w:r>
          </w:p>
        </w:tc>
        <w:tc>
          <w:tcPr>
            <w:tcW w:type="dxa" w:w="2835"/>
          </w:tcPr>
          <w:p>
            <w:r>
              <w:rPr>
                <w:sz w:val="18"/>
              </w:rPr>
              <w:t>El agente sólo toca sheets.googleapis.com, docs.googleapis.com, www.googleapis.com y gmail.googleapis.com (lectura propia); la auditoría contrasta las llamadas reales contra esa lista y rechaza endpoints de distribución</w:t>
            </w:r>
          </w:p>
        </w:tc>
      </w:tr>
      <w:tr>
        <w:tc>
          <w:tcPr>
            <w:tcW w:type="dxa" w:w="2835"/>
          </w:tcPr>
          <w:p>
            <w:r>
              <w:rPr>
                <w:sz w:val="18"/>
              </w:rPr>
              <w:t>Seguridad (confidencialidad) · El token nunca se guarda ni se registra</w:t>
            </w:r>
          </w:p>
        </w:tc>
        <w:tc>
          <w:tcPr>
            <w:tcW w:type="dxa" w:w="2835"/>
          </w:tcPr>
          <w:p>
            <w:r>
              <w:rPr>
                <w:sz w:val="18"/>
              </w:rPr>
              <w:t>A</w:t>
            </w:r>
          </w:p>
        </w:tc>
        <w:tc>
          <w:tcPr>
            <w:tcW w:type="dxa" w:w="2835"/>
          </w:tcPr>
          <w:p>
            <w:r>
              <w:rPr>
                <w:sz w:val="18"/>
              </w:rPr>
              <w:t>El token se pide por operación, se valida que no tenga saltos de línea (no se puede inyectar cabecera) y se usa sólo en el header Authorization; los errores HTTP se mapean sin filtrar token ni cuerpo</w:t>
            </w:r>
          </w:p>
        </w:tc>
      </w:tr>
      <w:tr>
        <w:tc>
          <w:tcPr>
            <w:tcW w:type="dxa" w:w="2835"/>
          </w:tcPr>
          <w:p>
            <w:r>
              <w:rPr>
                <w:sz w:val="18"/>
              </w:rPr>
              <w:t>Seguridad (confidencialidad) · Cifrado en tránsito de las llamadas a Workspace (TLS)</w:t>
            </w:r>
          </w:p>
        </w:tc>
        <w:tc>
          <w:tcPr>
            <w:tcW w:type="dxa" w:w="2835"/>
          </w:tcPr>
          <w:p>
            <w:r>
              <w:rPr>
                <w:sz w:val="18"/>
              </w:rPr>
              <w:t>A</w:t>
            </w:r>
          </w:p>
        </w:tc>
        <w:tc>
          <w:tcPr>
            <w:tcW w:type="dxa" w:w="2835"/>
          </w:tcPr>
          <w:p>
            <w:r>
              <w:rPr>
                <w:sz w:val="18"/>
              </w:rPr>
              <w:t>Toda llamada a los servicios de Google viaja por HTTPS: el transporte usa http.client.HTTPSConnection contra el puerto 443 y la allowlist de hosts impide cualquier otro destino. El cliente es a mano y enumerable, sin SDK ni dependencias transitivas. El tráfico hacia el modelo no sale del servidor: va del contenedor del agente al de Ollama por la red interna de Docker, sin salida</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Google Workspace</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Seguridad (autenticación) · Mecanismo de identidad (eje 1, I)</w:t>
            </w:r>
          </w:p>
        </w:tc>
        <w:tc>
          <w:tcPr>
            <w:tcW w:type="dxa" w:w="2835"/>
          </w:tcPr>
          <w:p>
            <w:r>
              <w:rPr>
                <w:sz w:val="18"/>
              </w:rPr>
              <w:t>A</w:t>
            </w:r>
          </w:p>
        </w:tc>
        <w:tc>
          <w:tcPr>
            <w:tcW w:type="dxa" w:w="2835"/>
          </w:tcPr>
          <w:p>
            <w:r>
              <w:rPr>
                <w:sz w:val="18"/>
              </w:rPr>
              <w:t>Cuenta de servicio en un proyecto de Google Cloud de DSI, con domain-wide delegation, que se hace pasar por la cuenta técnica bot_ia1@. Es lo que DSI prefiere y ya otorgó; el proyecto es de DSI, así que no queda nada a nombre del autor (ADR 0007)</w:t>
            </w:r>
          </w:p>
        </w:tc>
      </w:tr>
      <w:tr>
        <w:tc>
          <w:tcPr>
            <w:tcW w:type="dxa" w:w="2835"/>
          </w:tcPr>
          <w:p>
            <w:r>
              <w:rPr>
                <w:sz w:val="18"/>
              </w:rPr>
              <w:t>Seguridad (autorización) · Riesgo aceptado de la delegación sobre el dominio</w:t>
            </w:r>
          </w:p>
        </w:tc>
        <w:tc>
          <w:tcPr>
            <w:tcW w:type="dxa" w:w="2835"/>
          </w:tcPr>
          <w:p>
            <w:r>
              <w:rPr>
                <w:sz w:val="18"/>
              </w:rPr>
              <w:t>A + RA</w:t>
            </w:r>
          </w:p>
        </w:tc>
        <w:tc>
          <w:tcPr>
            <w:tcW w:type="dxa" w:w="2835"/>
          </w:tcPr>
          <w:p>
            <w:r>
              <w:rPr>
                <w:sz w:val="18"/>
              </w:rPr>
              <w:t>RA (DSI, correo del 13/10): la delegación se autoriza por client ID para todo el dominio; con la clave se puede leer y enviar correo y acceder al Drive como cualquier cuenta de la FIE. Compensación: lista cerrada de cuentas suplantables (#98, ADR 0011), archivo controlado del repo con hashes que entra en el manifest; si el entorno indica otra cuenta, el agente no arranca</w:t>
            </w:r>
          </w:p>
        </w:tc>
      </w:tr>
      <w:tr>
        <w:tc>
          <w:tcPr>
            <w:tcW w:type="dxa" w:w="2835"/>
          </w:tcPr>
          <w:p>
            <w:r>
              <w:rPr>
                <w:sz w:val="18"/>
              </w:rPr>
              <w:t>Seguridad (confidencialidad) · Custodia y transporte del secreto (eje 4, I + RA)</w:t>
            </w:r>
          </w:p>
        </w:tc>
        <w:tc>
          <w:tcPr>
            <w:tcW w:type="dxa" w:w="2835"/>
          </w:tcPr>
          <w:p>
            <w:r>
              <w:rPr>
                <w:sz w:val="18"/>
              </w:rPr>
              <w:t>A + RA</w:t>
            </w:r>
          </w:p>
        </w:tc>
        <w:tc>
          <w:tcPr>
            <w:tcW w:type="dxa" w:w="2835"/>
          </w:tcPr>
          <w:p>
            <w:r>
              <w:rPr>
                <w:sz w:val="18"/>
              </w:rPr>
              <w:t>La clave JSON vive sólo en el servidor, fuera del repo, con chmod 600, y se monta en sólo lectura en el contenedor del agente; nunca entra a la imagen ni a docker inspect. La copia recibida por correo y la que había en la laptop del autor se borraron. RA (el autor y DSI): el transporte inicial fue por correo interno del dominio con TLS, y el disco del servidor no está cifrado (LVM + ext4, verificado el 23/10; sin root no se puede cifrar). Control compensatorio: usuario sin privilegios, la clave sólo se hace pasar por la cuenta técnica (lista cerrada) y DSI la revoca. La credencial OAuth anterior se dio de baja el 23/10: refresh token revocado (Google responde invalid_grant) y proyecto de Google Cloud propio con apagado programado (#99)</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A</w:t>
            </w:r>
          </w:p>
        </w:tc>
        <w:tc>
          <w:tcPr>
            <w:tcW w:type="dxa" w:w="2835"/>
          </w:tcPr>
          <w:p>
            <w:r>
              <w:rPr>
                <w:sz w:val="18"/>
              </w:rPr>
              <w:t>Docstrings de decisión por módulo y la tabla de decisiones del README permiten localizar cada regla; el linter (ruff E/F/I/W) corre en el CI en cada cambio (#90)</w:t>
            </w:r>
          </w:p>
        </w:tc>
      </w:tr>
      <w:tr>
        <w:tc>
          <w:tcPr>
            <w:tcW w:type="dxa" w:w="2835"/>
          </w:tcPr>
          <w:p>
            <w:r>
              <w:rPr>
                <w:sz w:val="18"/>
              </w:rPr>
              <w:t>Flexibilidad · Instalabilidad</w:t>
            </w:r>
          </w:p>
        </w:tc>
        <w:tc>
          <w:tcPr>
            <w:tcW w:type="dxa" w:w="2835"/>
          </w:tcPr>
          <w:p>
            <w:r>
              <w:rPr>
                <w:sz w:val="18"/>
              </w:rPr>
              <w:t>A</w:t>
            </w:r>
          </w:p>
        </w:tc>
        <w:tc>
          <w:tcPr>
            <w:tcW w:type="dxa" w:w="2835"/>
          </w:tcPr>
          <w:p>
            <w:r>
              <w:rPr>
                <w:sz w:val="18"/>
              </w:rPr>
              <w:t>Se instala en el servidor como un stack de Portainer: el CI publica la imagen al cortar una versión y Portainer la despliega solo desde la rama deploy. Del 23/10 al 26/10 se desplegaron así seis versiones (0.5.0 a 0.5.5) y una vuelta atrás; la 0.5.5 se desplegó sola, con el scheduler corriendo, sin intervención en el servidor. La instalación por un tercero (el operador del traspaso, con su propio usuario de Portainer) está prevista para diciembre-febrero</w:t>
            </w:r>
          </w:p>
        </w:tc>
      </w:tr>
      <w:tr>
        <w:tc>
          <w:tcPr>
            <w:tcW w:type="dxa" w:w="2835"/>
          </w:tcPr>
          <w:p>
            <w:r>
              <w:rPr>
                <w:sz w:val="18"/>
              </w:rPr>
              <w:t>Seguridad (confidencialidad) · Secretos fuera del repo y del log</w:t>
            </w:r>
          </w:p>
        </w:tc>
        <w:tc>
          <w:tcPr>
            <w:tcW w:type="dxa" w:w="2835"/>
          </w:tcPr>
          <w:p>
            <w:r>
              <w:rPr>
                <w:sz w:val="18"/>
              </w:rPr>
              <w:t>A</w:t>
            </w:r>
          </w:p>
        </w:tc>
        <w:tc>
          <w:tcPr>
            <w:tcW w:type="dxa" w:w="2835"/>
          </w:tcPr>
          <w:p>
            <w:r>
              <w:rPr>
                <w:sz w:val="18"/>
              </w:rPr>
              <w:t>Ningún secreto se versiona ni se escribe en logs, manifests ni mensajes de error. El env file vive en ~/.config/agente1/ del servidor (chmod 600, fuera del repo) y el entrypoint lo carga en tiempo de ejecución: no entra a la imagen, a los build args ni a docker inspect. Los reportes publican hashes (resumen_seguro) y el runtime tiene cero dependencias</w:t>
            </w:r>
          </w:p>
        </w:tc>
      </w:tr>
      <w:tr>
        <w:tc>
          <w:tcPr>
            <w:tcW w:type="dxa" w:w="2835"/>
          </w:tcPr>
          <w:p>
            <w:r>
              <w:rPr>
                <w:sz w:val="18"/>
              </w:rPr>
              <w:t>Seguridad (integridad) · Manifest de versión y arranque fail-closed</w:t>
            </w:r>
          </w:p>
        </w:tc>
        <w:tc>
          <w:tcPr>
            <w:tcW w:type="dxa" w:w="2835"/>
          </w:tcPr>
          <w:p>
            <w:r>
              <w:rPr>
                <w:sz w:val="18"/>
              </w:rPr>
              <w:t>A</w:t>
            </w:r>
          </w:p>
        </w:tc>
        <w:tc>
          <w:tcPr>
            <w:tcW w:type="dxa" w:w="2835"/>
          </w:tcPr>
          <w:p>
            <w:r>
              <w:rPr>
                <w:sz w:val="18"/>
              </w:rPr>
              <w:t>En modo operación el agente no arranca si algún archivo controlado (código, prompts, políticas, contratos, migraciones, uv.lock, scripts, systemd, Dockerfile y docker/) no coincide con el manifest; deja en logs/integridad-arranque.jsonl el archivo, el hash esperado y el encontrado (#92, ADR 0010). En el contenedor, el entrypoint verifica antes de lanzar cualquier comando; el CI prueba en cada cambio que un archivo alterado impide arrancar</w:t>
            </w:r>
          </w:p>
        </w:tc>
      </w:tr>
      <w:tr>
        <w:tc>
          <w:tcPr>
            <w:tcW w:type="dxa" w:w="2835"/>
          </w:tcPr>
          <w:p>
            <w:r>
              <w:rPr>
                <w:sz w:val="18"/>
              </w:rPr>
              <w:t>Seguridad (integridad) · Ejecución en contenedores endurecidos</w:t>
            </w:r>
          </w:p>
        </w:tc>
        <w:tc>
          <w:tcPr>
            <w:tcW w:type="dxa" w:w="2835"/>
          </w:tcPr>
          <w:p>
            <w:r>
              <w:rPr>
                <w:sz w:val="18"/>
              </w:rPr>
              <w:t>A</w:t>
            </w:r>
          </w:p>
        </w:tc>
        <w:tc>
          <w:tcPr>
            <w:tcW w:type="dxa" w:w="2835"/>
          </w:tcPr>
          <w:p>
            <w:r>
              <w:rPr>
                <w:sz w:val="18"/>
              </w:rPr>
              <w:t>El agente y el modelo corren en contenedores (ADR 0013): usuario no root, sistema de archivos de sólo lectura, cap_drop: ALL, no-new-privileges, sin modo privilegiado y sin el socket de Docker. La imagen la publica el CI sólo al cortar una versión, fijada por digest, y la suite corre dentro de la imagen antes de publicarla; Portainer despliega sólo lo que apunta la rama deploy</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2026</w:t>
    </w:r>
    <w:r w:rsidR="0082561D">
      <w:rPr>
        <w:rFonts w:ascii="Lucida Bright" w:hAnsi="Lucida Bright"/>
        <w:i/>
        <w:iCs/>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