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D7A4F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0CD3E464" w14:textId="6150BD85" w:rsidR="00DC3162" w:rsidRDefault="00DC3162" w:rsidP="00CC7153">
      <w:pPr>
        <w:jc w:val="both"/>
        <w:rPr>
          <w:sz w:val="24"/>
          <w:szCs w:val="24"/>
        </w:rPr>
      </w:pPr>
    </w:p>
    <w:p w14:paraId="54879D3F" w14:textId="76579444" w:rsidR="00DC3162" w:rsidRDefault="00DC3162" w:rsidP="00DC3162">
      <w:pPr>
        <w:rPr>
          <w:b/>
          <w:i/>
          <w:u w:val="single"/>
        </w:rPr>
      </w:pPr>
      <w:r w:rsidRPr="00906761">
        <w:rPr>
          <w:b/>
          <w:u w:val="single"/>
        </w:rPr>
        <w:t>Para los factores de Seguridad:</w:t>
      </w:r>
      <w:r w:rsidR="00021D4D">
        <w:rPr>
          <w:b/>
          <w:u w:val="single"/>
        </w:rPr>
      </w:r>
      <w:r w:rsidRPr="00906761">
        <w:rPr>
          <w:b/>
          <w:u w:val="single"/>
        </w:rPr>
      </w:r>
      <w:r w:rsidRPr="00906761">
        <w:rPr>
          <w:b/>
          <w:i/>
          <w:u w:val="single"/>
        </w:rPr>
      </w:r>
      <w:r w:rsidR="007402EE">
        <w:rPr>
          <w:b/>
          <w:i/>
          <w:u w:val="single"/>
        </w:rPr>
      </w:r>
      <w:r w:rsidRPr="00906761">
        <w:rPr>
          <w:b/>
          <w:i/>
          <w:u w:val="single"/>
        </w:rPr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1"/>
        <w:gridCol w:w="2305"/>
        <w:gridCol w:w="505"/>
        <w:gridCol w:w="371"/>
        <w:gridCol w:w="419"/>
        <w:gridCol w:w="839"/>
        <w:gridCol w:w="732"/>
        <w:gridCol w:w="839"/>
        <w:gridCol w:w="732"/>
        <w:gridCol w:w="1081"/>
      </w:tblGrid>
      <w:tr w:rsidR="00340E50" w14:paraId="02D2700C" w14:textId="77777777" w:rsidTr="00E727B9">
        <w:trPr>
          <w:trHeight w:val="596"/>
        </w:trPr>
        <w:tc>
          <w:tcPr>
            <w:tcW w:w="9344" w:type="dxa"/>
            <w:gridSpan w:val="10"/>
            <w:vAlign w:val="center"/>
          </w:tcPr>
          <w:p w14:paraId="62A58454" w14:textId="75A9501A" w:rsidR="00340E50" w:rsidRPr="007616B6" w:rsidRDefault="00340E50" w:rsidP="00E727B9">
            <w:pPr>
              <w:jc w:val="center"/>
              <w:rPr>
                <w:smallCaps/>
                <w:sz w:val="24"/>
                <w:szCs w:val="24"/>
              </w:rPr>
            </w:pPr>
            <w:r w:rsidRPr="007616B6">
              <w:rPr>
                <w:b/>
                <w:smallCaps/>
                <w:u w:val="single"/>
              </w:rPr>
              <w:t>Factores de Seguridad: NIST CSF (a nivel Sistema), OWASP Top 10 y OWASP Top 10 for LLM por ítem, MITRE ATT&amp;CK para las técnicas habilitadas</w:t>
            </w:r>
            <w:r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>
              <w:rPr>
                <w:b/>
                <w:smallCaps/>
                <w:u w:val="single"/>
              </w:rPr>
            </w:r>
          </w:p>
        </w:tc>
      </w:tr>
      <w:tr w:rsidR="00DC3162" w14:paraId="511FDB48" w14:textId="77777777" w:rsidTr="007C0C48">
        <w:tc>
          <w:tcPr>
            <w:tcW w:w="0" w:type="auto"/>
            <w:vMerge w:val="restart"/>
            <w:vAlign w:val="center"/>
          </w:tcPr>
          <w:p w14:paraId="71A860B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Componente</w:t>
            </w:r>
          </w:p>
        </w:tc>
        <w:tc>
          <w:tcPr>
            <w:tcW w:w="0" w:type="auto"/>
            <w:vMerge w:val="restart"/>
            <w:vAlign w:val="center"/>
          </w:tcPr>
          <w:p w14:paraId="639221DE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Ítem</w:t>
            </w:r>
          </w:p>
        </w:tc>
        <w:tc>
          <w:tcPr>
            <w:tcW w:w="0" w:type="auto"/>
            <w:gridSpan w:val="3"/>
            <w:vAlign w:val="center"/>
          </w:tcPr>
          <w:p w14:paraId="782A2B12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Implementado</w:t>
            </w:r>
          </w:p>
        </w:tc>
        <w:tc>
          <w:tcPr>
            <w:tcW w:w="0" w:type="auto"/>
            <w:gridSpan w:val="2"/>
            <w:vAlign w:val="center"/>
          </w:tcPr>
          <w:p w14:paraId="04C3413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Previsto</w:t>
            </w:r>
          </w:p>
        </w:tc>
        <w:tc>
          <w:tcPr>
            <w:tcW w:w="0" w:type="auto"/>
            <w:gridSpan w:val="2"/>
            <w:vAlign w:val="center"/>
          </w:tcPr>
          <w:p w14:paraId="51A8746D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No previsto</w:t>
            </w:r>
          </w:p>
        </w:tc>
        <w:tc>
          <w:tcPr>
            <w:tcW w:w="0" w:type="auto"/>
            <w:vMerge w:val="restart"/>
            <w:vAlign w:val="center"/>
          </w:tcPr>
          <w:p w14:paraId="468756F5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Comentario</w:t>
            </w:r>
          </w:p>
        </w:tc>
      </w:tr>
      <w:tr w:rsidR="00DC3162" w14:paraId="35CEF389" w14:textId="77777777" w:rsidTr="007C0C48">
        <w:tc>
          <w:tcPr>
            <w:tcW w:w="0" w:type="auto"/>
            <w:vMerge/>
            <w:vAlign w:val="center"/>
          </w:tcPr>
          <w:p w14:paraId="4E2C30AC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0541652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shd w:val="clear" w:color="auto" w:fill="00B050"/>
            <w:vAlign w:val="center"/>
          </w:tcPr>
          <w:p w14:paraId="04E9077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MB</w:t>
            </w:r>
          </w:p>
        </w:tc>
        <w:tc>
          <w:tcPr>
            <w:tcW w:w="0" w:type="auto"/>
            <w:shd w:val="clear" w:color="auto" w:fill="00B0F0"/>
            <w:vAlign w:val="center"/>
          </w:tcPr>
          <w:p w14:paraId="7AD0BC4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B</w:t>
            </w:r>
          </w:p>
        </w:tc>
        <w:tc>
          <w:tcPr>
            <w:tcW w:w="0" w:type="auto"/>
            <w:shd w:val="clear" w:color="auto" w:fill="C00000"/>
            <w:vAlign w:val="center"/>
          </w:tcPr>
          <w:p w14:paraId="34D4757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</w:t>
            </w:r>
          </w:p>
        </w:tc>
        <w:tc>
          <w:tcPr>
            <w:tcW w:w="0" w:type="auto"/>
            <w:shd w:val="clear" w:color="auto" w:fill="00B050"/>
            <w:vAlign w:val="center"/>
          </w:tcPr>
          <w:p w14:paraId="55AA54FA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28AEE5D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shd w:val="clear" w:color="auto" w:fill="00B0F0"/>
            <w:vAlign w:val="center"/>
          </w:tcPr>
          <w:p w14:paraId="26E71CB6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B452B1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vMerge/>
            <w:shd w:val="clear" w:color="auto" w:fill="FFC000"/>
            <w:vAlign w:val="center"/>
          </w:tcPr>
          <w:p w14:paraId="7791F773" w14:textId="77777777" w:rsidR="00DC3162" w:rsidRPr="0017775E" w:rsidRDefault="00DC3162" w:rsidP="007C0C48">
            <w:pPr>
              <w:jc w:val="center"/>
              <w:rPr>
                <w:sz w:val="12"/>
              </w:rPr>
            </w:pPr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Identidad y rol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No persistencia de la prosa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La prosa del pedido es dato, nunca instrucción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Catálogo cerrado de intenciones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Registro sin prosa ni identidad en claro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Fallback del intérprete validado contra contrato acotado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Gate de salida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Marca de borrador revalidada en el destino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Modelo local sin salida a internet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Fail-closed por tipo y origen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Integridad del gate (SLO del 100 %)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Buzón propio de sólo lectura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Nada se persiste; adjuntos hasheados en memoria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Situación de pago derivada, sin estado propio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Identidad verificada por Google en el Form de decisiones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Links alterados y objetos inexistentes se rechazan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La aprobación ata el objeto por sha256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Doble aprobación obligatoria por máquina de estados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Lista de prueba del envío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Idempotencia durable y reconciliación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Almacenamiento de credenciales y contraseñas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Auditoría y reportes sólo de códigos, conteos y hashes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Registros durables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Allowlist de hosts del plano de datos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El token nunca se guarda ni se registra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Cifrado en tránsito de las llamadas a Workspace (TLS)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Mecanismo de identidad (eje 1,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Riesgo aceptado de la delegación sobre el dominio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Custodia y transporte del secreto (eje 4, I + RA)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Secretos fuera del repo y del log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 versión y arranque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Ejecución en contenedores endurecidos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</w:tbl>
    <w:p w14:paraId="5212623F" w14:textId="3A171D86" w:rsidR="00DC3162" w:rsidRDefault="00DC3162" w:rsidP="00DC3162"/>
    <w:p w14:paraId="718372E1" w14:textId="77777777" w:rsidR="00021D4D" w:rsidRPr="00021D4D" w:rsidRDefault="00021D4D" w:rsidP="00021D4D">
      <w:pPr>
        <w:jc w:val="both"/>
        <w:rPr>
          <w:b/>
          <w:bCs/>
          <w:smallCaps/>
          <w:sz w:val="24"/>
          <w:szCs w:val="24"/>
        </w:rPr>
      </w:pPr>
      <w:r w:rsidRPr="00021D4D">
        <w:rPr>
          <w:b/>
          <w:bCs/>
          <w:smallCaps/>
          <w:sz w:val="24"/>
          <w:szCs w:val="24"/>
        </w:rPr>
        <w:t>Referencias:</w:t>
      </w:r>
    </w:p>
    <w:p w14:paraId="5ADB113B" w14:textId="4CBF5247" w:rsidR="00021D4D" w:rsidRDefault="00021D4D" w:rsidP="00021D4D">
      <w:pPr>
        <w:jc w:val="both"/>
        <w:rPr>
          <w:sz w:val="24"/>
          <w:szCs w:val="24"/>
        </w:rPr>
      </w:pPr>
      <w:r>
        <w:rPr>
          <w:sz w:val="24"/>
          <w:szCs w:val="24"/>
        </w:rPr>
        <w:t>NIST Cybersecurity Framework (CSF) 2.0, OWASP Top 10 (2021), OWASP Top 10 for LLM Applications y MITRE ATT&amp;CK.</w:t>
      </w:r>
    </w:p>
    <w:p w14:paraId="23D46E62" w14:textId="77777777" w:rsidR="008001EE" w:rsidRPr="00D863CF" w:rsidRDefault="008001EE" w:rsidP="00DC3162"/>
    <w:p w14:paraId="2FC931C8" w14:textId="32B15ACB" w:rsidR="00DC3162" w:rsidRDefault="00DC3162" w:rsidP="00CC7153">
      <w:pPr>
        <w:jc w:val="both"/>
        <w:rPr>
          <w:sz w:val="24"/>
          <w:szCs w:val="24"/>
        </w:rPr>
      </w:pPr>
    </w:p>
    <w:p w14:paraId="58F4E813" w14:textId="467801EF" w:rsidR="00E46571" w:rsidRDefault="00E46571" w:rsidP="00CC7153">
      <w:pPr>
        <w:jc w:val="both"/>
        <w:rPr>
          <w:sz w:val="24"/>
          <w:szCs w:val="24"/>
        </w:rPr>
      </w:pPr>
    </w:p>
    <w:p w14:paraId="04EF1049" w14:textId="6250678E" w:rsidR="00E46571" w:rsidRDefault="00E46571" w:rsidP="00CC7153">
      <w:pPr>
        <w:jc w:val="both"/>
        <w:rPr>
          <w:sz w:val="24"/>
          <w:szCs w:val="24"/>
        </w:rPr>
      </w:pPr>
    </w:p>
    <w:p w14:paraId="41A1A4C7" w14:textId="713B393C" w:rsidR="00E46571" w:rsidRDefault="00E46571" w:rsidP="00CC7153">
      <w:pPr>
        <w:jc w:val="both"/>
        <w:rPr>
          <w:sz w:val="24"/>
          <w:szCs w:val="24"/>
        </w:rPr>
      </w:pPr>
    </w:p>
    <w:p w14:paraId="080FB5ED" w14:textId="77777777" w:rsidR="00E46571" w:rsidRDefault="00E46571" w:rsidP="00CC7153">
      <w:pPr>
        <w:jc w:val="both"/>
        <w:rPr>
          <w:sz w:val="24"/>
          <w:szCs w:val="24"/>
        </w:rPr>
      </w:pPr>
    </w:p>
    <w:sectPr w:rsidR="00E46571" w:rsidSect="00EE6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9366E" w14:textId="77777777" w:rsidR="00073238" w:rsidRDefault="00073238" w:rsidP="004E21F1">
      <w:pPr>
        <w:spacing w:after="0" w:line="240" w:lineRule="auto"/>
      </w:pPr>
      <w:r>
        <w:separator/>
      </w:r>
    </w:p>
  </w:endnote>
  <w:endnote w:type="continuationSeparator" w:id="0">
    <w:p w14:paraId="5C3DA4DD" w14:textId="77777777" w:rsidR="00073238" w:rsidRDefault="00073238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E724B" w14:textId="77777777" w:rsidR="00F74F48" w:rsidRDefault="00F74F4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666F" w14:textId="77777777" w:rsidR="00F74F48" w:rsidRDefault="00F74F4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D5E2" w14:textId="77777777" w:rsidR="00F74F48" w:rsidRDefault="00F74F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C8CD9" w14:textId="77777777" w:rsidR="00073238" w:rsidRDefault="00073238" w:rsidP="004E21F1">
      <w:pPr>
        <w:spacing w:after="0" w:line="240" w:lineRule="auto"/>
      </w:pPr>
      <w:r>
        <w:separator/>
      </w:r>
    </w:p>
  </w:footnote>
  <w:footnote w:type="continuationSeparator" w:id="0">
    <w:p w14:paraId="26C946AB" w14:textId="77777777" w:rsidR="00073238" w:rsidRDefault="00073238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8032" w14:textId="77777777" w:rsidR="00F74F48" w:rsidRDefault="00F74F4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176B8" w14:textId="4C58AEAD" w:rsidR="003B278C" w:rsidRDefault="003B278C" w:rsidP="003B278C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2026</w:t>
    </w:r>
    <w:r w:rsidR="006041A0">
      <w:rPr>
        <w:rFonts w:ascii="Lucida Bright" w:hAnsi="Lucida Bright"/>
        <w:i/>
        <w:iCs/>
      </w:rPr>
    </w:r>
  </w:p>
  <w:p w14:paraId="25A41F14" w14:textId="77777777" w:rsidR="003B278C" w:rsidRPr="004E21F1" w:rsidRDefault="003B278C" w:rsidP="003B278C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6E93" w14:textId="77777777" w:rsidR="00F74F48" w:rsidRDefault="00F74F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592749">
    <w:abstractNumId w:val="3"/>
  </w:num>
  <w:num w:numId="2" w16cid:durableId="2020541122">
    <w:abstractNumId w:val="1"/>
  </w:num>
  <w:num w:numId="3" w16cid:durableId="1461846717">
    <w:abstractNumId w:val="2"/>
  </w:num>
  <w:num w:numId="4" w16cid:durableId="1051925030">
    <w:abstractNumId w:val="0"/>
  </w:num>
  <w:num w:numId="5" w16cid:durableId="487790465">
    <w:abstractNumId w:val="5"/>
  </w:num>
  <w:num w:numId="6" w16cid:durableId="842743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1D4D"/>
    <w:rsid w:val="0002629D"/>
    <w:rsid w:val="00073238"/>
    <w:rsid w:val="000C247C"/>
    <w:rsid w:val="001E4BCF"/>
    <w:rsid w:val="001F0BB8"/>
    <w:rsid w:val="002C5098"/>
    <w:rsid w:val="00340E50"/>
    <w:rsid w:val="00360A86"/>
    <w:rsid w:val="003B278C"/>
    <w:rsid w:val="003E3F02"/>
    <w:rsid w:val="00482558"/>
    <w:rsid w:val="004B1E37"/>
    <w:rsid w:val="004E21F1"/>
    <w:rsid w:val="00503E26"/>
    <w:rsid w:val="006041A0"/>
    <w:rsid w:val="00682FC5"/>
    <w:rsid w:val="00722854"/>
    <w:rsid w:val="007402EE"/>
    <w:rsid w:val="007616B6"/>
    <w:rsid w:val="00761CB8"/>
    <w:rsid w:val="008001EE"/>
    <w:rsid w:val="00832944"/>
    <w:rsid w:val="00905C5F"/>
    <w:rsid w:val="00972AF8"/>
    <w:rsid w:val="00A17BDF"/>
    <w:rsid w:val="00AB202B"/>
    <w:rsid w:val="00BF1B7E"/>
    <w:rsid w:val="00C20397"/>
    <w:rsid w:val="00CC6C86"/>
    <w:rsid w:val="00CC7153"/>
    <w:rsid w:val="00CF2529"/>
    <w:rsid w:val="00D6261B"/>
    <w:rsid w:val="00DC3162"/>
    <w:rsid w:val="00E1173B"/>
    <w:rsid w:val="00E35E19"/>
    <w:rsid w:val="00E46571"/>
    <w:rsid w:val="00EB5D72"/>
    <w:rsid w:val="00EE6546"/>
    <w:rsid w:val="00F74F48"/>
    <w:rsid w:val="00F8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6</cp:revision>
  <dcterms:created xsi:type="dcterms:W3CDTF">2024-09-24T14:29:00Z</dcterms:created>
  <dcterms:modified xsi:type="dcterms:W3CDTF">2025-05-07T21:31:00Z</dcterms:modified>
</cp:coreProperties>
</file>