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66A" w14:textId="302E8AFF" w:rsidR="00CC7153" w:rsidRPr="00CF2529" w:rsidRDefault="00CC7153" w:rsidP="00CC7153">
      <w:pPr>
        <w:jc w:val="center"/>
        <w:rPr>
          <w:sz w:val="28"/>
          <w:szCs w:val="28"/>
        </w:rPr>
      </w:pPr>
      <w:r>
        <w:rPr>
          <w:sz w:val="28"/>
          <w:szCs w:val="28"/>
        </w:rPr>
        <w:t>Reporte de Evaluación</w:t>
      </w:r>
    </w:p>
    <w:p w14:paraId="3B29D8D9" w14:textId="173F0773" w:rsidR="00CC7153" w:rsidRDefault="007616B6" w:rsidP="00CC7153">
      <w:pPr>
        <w:jc w:val="center"/>
      </w:pPr>
      <w:r>
        <w:t>Proyecto Centenario, Agente 1: Extensión Bot para la Secretaría de Extensión Universitaria de la FIE (Facultad de Ingeniería del Ejército, Universidad de la Defensa Nacional)</w:t>
      </w:r>
      <w:r w:rsidR="00CC7153"/>
      <w:r/>
    </w:p>
    <w:p w14:paraId="11F8C349" w14:textId="77777777" w:rsidR="00CC7153" w:rsidRDefault="00CC7153" w:rsidP="00CC7153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F53B45" wp14:editId="15EA00B5">
                <wp:simplePos x="0" y="0"/>
                <wp:positionH relativeFrom="column">
                  <wp:posOffset>6793</wp:posOffset>
                </wp:positionH>
                <wp:positionV relativeFrom="paragraph">
                  <wp:posOffset>7213</wp:posOffset>
                </wp:positionV>
                <wp:extent cx="5580000" cy="0"/>
                <wp:effectExtent l="0" t="19050" r="20955" b="1905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000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7D7A4F" id="Conector recto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5pt,.55pt" to="439.9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" strokecolor="#212934 [1615]" strokeweight="3pt">
                <v:stroke joinstyle="miter"/>
              </v:line>
            </w:pict>
          </mc:Fallback>
        </mc:AlternateContent>
      </w:r>
    </w:p>
    <w:p w14:paraId="25883003" w14:textId="79B7B8FC" w:rsidR="00BF1B7E" w:rsidRDefault="00BF1B7E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Fecha de Evaluación: </w:t>
      </w:r>
    </w:p>
    <w:p w14:paraId="0CBFB1EA" w14:textId="30D63A52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Laboratorio</w:t>
      </w:r>
      <w:r w:rsidR="00482558">
        <w:rPr>
          <w:sz w:val="24"/>
          <w:szCs w:val="24"/>
        </w:rPr>
        <w:t>: &lt;Identificación del Laboratorio&gt;</w:t>
      </w:r>
    </w:p>
    <w:p w14:paraId="1026CA1D" w14:textId="38CB2F75" w:rsidR="00CC7153" w:rsidRDefault="00CC7153" w:rsidP="00CC7153">
      <w:pPr>
        <w:jc w:val="both"/>
        <w:rPr>
          <w:sz w:val="24"/>
          <w:szCs w:val="24"/>
        </w:rPr>
      </w:pPr>
      <w:r>
        <w:rPr>
          <w:sz w:val="24"/>
          <w:szCs w:val="24"/>
        </w:rPr>
        <w:t>Equipo de Evaluación</w:t>
      </w:r>
      <w:r w:rsidR="00482558">
        <w:rPr>
          <w:sz w:val="24"/>
          <w:szCs w:val="24"/>
        </w:rPr>
        <w:t>: &lt;</w:t>
      </w:r>
      <w:r w:rsidR="00E1173B">
        <w:rPr>
          <w:sz w:val="24"/>
          <w:szCs w:val="24"/>
        </w:rPr>
        <w:t>nombre&gt;; &lt;función&gt;; …; &lt;nombre&gt;; &lt;función&gt;</w:t>
      </w:r>
    </w:p>
    <w:p w14:paraId="65E872DE" w14:textId="218BA6E9" w:rsidR="00DC3162" w:rsidRDefault="00DC3162" w:rsidP="00CC7153">
      <w:pPr>
        <w:jc w:val="both"/>
        <w:rPr>
          <w:sz w:val="24"/>
          <w:szCs w:val="24"/>
        </w:rPr>
      </w:pPr>
    </w:p>
    <w:p w14:paraId="0CD3E464" w14:textId="6150BD85" w:rsidR="00DC3162" w:rsidRDefault="00DC3162" w:rsidP="00CC7153">
      <w:pPr>
        <w:jc w:val="both"/>
        <w:rPr>
          <w:sz w:val="24"/>
          <w:szCs w:val="24"/>
        </w:rPr>
      </w:pPr>
    </w:p>
    <w:p w14:paraId="54879D3F" w14:textId="76579444" w:rsidR="00DC3162" w:rsidRDefault="00DC3162" w:rsidP="00DC3162">
      <w:pPr>
        <w:rPr>
          <w:b/>
          <w:i/>
          <w:u w:val="single"/>
        </w:rPr>
      </w:pPr>
      <w:r w:rsidRPr="00906761">
        <w:rPr>
          <w:b/>
          <w:u w:val="single"/>
        </w:rPr>
        <w:t xml:space="preserve">Para los factores de </w:t>
      </w:r>
      <w:r w:rsidR="00021D4D">
        <w:rPr>
          <w:b/>
          <w:u w:val="single"/>
        </w:rPr>
        <w:t>S</w:t>
      </w:r>
      <w:r w:rsidRPr="00906761">
        <w:rPr>
          <w:b/>
          <w:u w:val="single"/>
        </w:rPr>
        <w:t xml:space="preserve">eguridad </w:t>
      </w:r>
      <w:r w:rsidRPr="00906761">
        <w:rPr>
          <w:b/>
          <w:i/>
          <w:u w:val="single"/>
        </w:rPr>
        <w:t xml:space="preserve">(Se </w:t>
      </w:r>
      <w:r w:rsidR="007402EE">
        <w:rPr>
          <w:b/>
          <w:i/>
          <w:u w:val="single"/>
        </w:rPr>
        <w:t>incluyen</w:t>
      </w:r>
      <w:r w:rsidRPr="00906761">
        <w:rPr>
          <w:b/>
          <w:i/>
          <w:u w:val="single"/>
        </w:rPr>
        <w:t xml:space="preserve"> datos puntuales a modo de ejemplo):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21"/>
        <w:gridCol w:w="2305"/>
        <w:gridCol w:w="505"/>
        <w:gridCol w:w="371"/>
        <w:gridCol w:w="419"/>
        <w:gridCol w:w="839"/>
        <w:gridCol w:w="732"/>
        <w:gridCol w:w="839"/>
        <w:gridCol w:w="732"/>
        <w:gridCol w:w="1081"/>
      </w:tblGrid>
      <w:tr w:rsidR="00340E50" w14:paraId="02D2700C" w14:textId="77777777" w:rsidTr="00E727B9">
        <w:trPr>
          <w:trHeight w:val="596"/>
        </w:trPr>
        <w:tc>
          <w:tcPr>
            <w:tcW w:w="9344" w:type="dxa"/>
            <w:gridSpan w:val="10"/>
            <w:vAlign w:val="center"/>
          </w:tcPr>
          <w:p w14:paraId="62A58454" w14:textId="75A9501A" w:rsidR="00340E50" w:rsidRPr="007616B6" w:rsidRDefault="00340E50" w:rsidP="00E727B9">
            <w:pPr>
              <w:jc w:val="center"/>
              <w:rPr>
                <w:smallCaps/>
                <w:sz w:val="24"/>
                <w:szCs w:val="24"/>
              </w:rPr>
            </w:pPr>
            <w:r w:rsidRPr="007616B6">
              <w:rPr>
                <w:b/>
                <w:smallCaps/>
                <w:u w:val="single"/>
              </w:rPr>
              <w:t>Factores de Seguridad: NIST CSF (a nivel Sistema), OWASP Top 10 y OWASP Top 10 for LLM por ítem, MITRE ATT&amp;CK para las técnicas habilitadas</w:t>
            </w:r>
            <w:r>
              <w:rPr>
                <w:b/>
                <w:smallCaps/>
                <w:u w:val="single"/>
              </w:rPr>
            </w:r>
            <w:r w:rsidRPr="007616B6">
              <w:rPr>
                <w:b/>
                <w:smallCaps/>
                <w:u w:val="single"/>
              </w:rPr>
            </w:r>
            <w:r>
              <w:rPr>
                <w:b/>
                <w:smallCaps/>
                <w:u w:val="single"/>
              </w:rPr>
            </w:r>
          </w:p>
        </w:tc>
      </w:tr>
      <w:tr w:rsidR="00DC3162" w14:paraId="511FDB48" w14:textId="77777777" w:rsidTr="007C0C48">
        <w:tc>
          <w:tcPr>
            <w:tcW w:w="0" w:type="auto"/>
            <w:vMerge w:val="restart"/>
            <w:vAlign w:val="center"/>
          </w:tcPr>
          <w:p w14:paraId="71A860B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Componente</w:t>
            </w:r>
          </w:p>
        </w:tc>
        <w:tc>
          <w:tcPr>
            <w:tcW w:w="0" w:type="auto"/>
            <w:vMerge w:val="restart"/>
            <w:vAlign w:val="center"/>
          </w:tcPr>
          <w:p w14:paraId="639221DE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Ítem</w:t>
            </w:r>
          </w:p>
        </w:tc>
        <w:tc>
          <w:tcPr>
            <w:tcW w:w="0" w:type="auto"/>
            <w:gridSpan w:val="3"/>
            <w:vAlign w:val="center"/>
          </w:tcPr>
          <w:p w14:paraId="782A2B12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Implementado</w:t>
            </w:r>
          </w:p>
        </w:tc>
        <w:tc>
          <w:tcPr>
            <w:tcW w:w="0" w:type="auto"/>
            <w:gridSpan w:val="2"/>
            <w:vAlign w:val="center"/>
          </w:tcPr>
          <w:p w14:paraId="04C34130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Previsto</w:t>
            </w:r>
          </w:p>
        </w:tc>
        <w:tc>
          <w:tcPr>
            <w:tcW w:w="0" w:type="auto"/>
            <w:gridSpan w:val="2"/>
            <w:vAlign w:val="center"/>
          </w:tcPr>
          <w:p w14:paraId="51A8746D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No previsto</w:t>
            </w:r>
          </w:p>
        </w:tc>
        <w:tc>
          <w:tcPr>
            <w:tcW w:w="0" w:type="auto"/>
            <w:vMerge w:val="restart"/>
            <w:vAlign w:val="center"/>
          </w:tcPr>
          <w:p w14:paraId="468756F5" w14:textId="77777777" w:rsidR="00DC3162" w:rsidRPr="00906761" w:rsidRDefault="00DC3162" w:rsidP="007C0C48">
            <w:pPr>
              <w:jc w:val="center"/>
              <w:rPr>
                <w:sz w:val="18"/>
              </w:rPr>
            </w:pPr>
            <w:r w:rsidRPr="00906761">
              <w:rPr>
                <w:sz w:val="18"/>
              </w:rPr>
              <w:t>Comentario</w:t>
            </w:r>
          </w:p>
        </w:tc>
      </w:tr>
      <w:tr w:rsidR="00DC3162" w14:paraId="35CEF389" w14:textId="77777777" w:rsidTr="007C0C48">
        <w:tc>
          <w:tcPr>
            <w:tcW w:w="0" w:type="auto"/>
            <w:vMerge/>
            <w:vAlign w:val="center"/>
          </w:tcPr>
          <w:p w14:paraId="4E2C30AC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0541652" w14:textId="77777777" w:rsidR="00DC3162" w:rsidRDefault="00DC3162" w:rsidP="007C0C48">
            <w:pPr>
              <w:jc w:val="center"/>
            </w:pPr>
          </w:p>
        </w:tc>
        <w:tc>
          <w:tcPr>
            <w:tcW w:w="0" w:type="auto"/>
            <w:shd w:val="clear" w:color="auto" w:fill="00B050"/>
            <w:vAlign w:val="center"/>
          </w:tcPr>
          <w:p w14:paraId="04E9077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MB</w:t>
            </w:r>
          </w:p>
        </w:tc>
        <w:tc>
          <w:tcPr>
            <w:tcW w:w="0" w:type="auto"/>
            <w:shd w:val="clear" w:color="auto" w:fill="00B0F0"/>
            <w:vAlign w:val="center"/>
          </w:tcPr>
          <w:p w14:paraId="7AD0BC4B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B</w:t>
            </w:r>
          </w:p>
        </w:tc>
        <w:tc>
          <w:tcPr>
            <w:tcW w:w="0" w:type="auto"/>
            <w:shd w:val="clear" w:color="auto" w:fill="C00000"/>
            <w:vAlign w:val="center"/>
          </w:tcPr>
          <w:p w14:paraId="34D4757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M</w:t>
            </w:r>
          </w:p>
        </w:tc>
        <w:tc>
          <w:tcPr>
            <w:tcW w:w="0" w:type="auto"/>
            <w:shd w:val="clear" w:color="auto" w:fill="00B050"/>
            <w:vAlign w:val="center"/>
          </w:tcPr>
          <w:p w14:paraId="55AA54FA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28AEE5D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shd w:val="clear" w:color="auto" w:fill="00B0F0"/>
            <w:vAlign w:val="center"/>
          </w:tcPr>
          <w:p w14:paraId="26E71CB6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>No es necesario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0B452B12" w14:textId="77777777" w:rsidR="00DC3162" w:rsidRPr="0017775E" w:rsidRDefault="00DC3162" w:rsidP="007C0C48">
            <w:pPr>
              <w:jc w:val="center"/>
              <w:rPr>
                <w:sz w:val="12"/>
              </w:rPr>
            </w:pPr>
            <w:r w:rsidRPr="0017775E">
              <w:rPr>
                <w:sz w:val="12"/>
              </w:rPr>
              <w:t xml:space="preserve">Debe </w:t>
            </w:r>
            <w:proofErr w:type="spellStart"/>
            <w:r w:rsidRPr="0017775E">
              <w:rPr>
                <w:sz w:val="12"/>
              </w:rPr>
              <w:t>Implem</w:t>
            </w:r>
            <w:proofErr w:type="spellEnd"/>
          </w:p>
        </w:tc>
        <w:tc>
          <w:tcPr>
            <w:tcW w:w="0" w:type="auto"/>
            <w:vMerge/>
            <w:shd w:val="clear" w:color="auto" w:fill="FFC000"/>
            <w:vAlign w:val="center"/>
          </w:tcPr>
          <w:p w14:paraId="7791F773" w14:textId="77777777" w:rsidR="00DC3162" w:rsidRPr="0017775E" w:rsidRDefault="00DC3162" w:rsidP="007C0C48">
            <w:pPr>
              <w:jc w:val="center"/>
              <w:rPr>
                <w:sz w:val="12"/>
              </w:rPr>
            </w:pPr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Identidad y rol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No persistencia de la prosa del pedido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Lectura fail-closed de la hoja y del registro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Canal</w:t>
            </w:r>
          </w:p>
        </w:tc>
        <w:tc>
          <w:tcPr>
            <w:tcW w:type="dxa" w:w="2305"/>
          </w:tcPr>
          <w:p>
            <w:r>
              <w:t>La prosa del pedido es dato, nunca instrucción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Catálogo cerrado de intenciones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Registro sin prosa ni identidad en claro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Interpretación</w:t>
            </w:r>
          </w:p>
        </w:tc>
        <w:tc>
          <w:tcPr>
            <w:tcW w:type="dxa" w:w="2305"/>
          </w:tcPr>
          <w:p>
            <w:r>
              <w:t>Fallback del intérprete validado contra contrato acotado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Allowlist de identificadores y control de escape de directorio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Auditoría de generación sin contenido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Errores del modelo colapsados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Gate de salida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Marca de borrador revalidada en el destino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Generación</w:t>
            </w:r>
          </w:p>
        </w:tc>
        <w:tc>
          <w:tcPr>
            <w:tcW w:type="dxa" w:w="2305"/>
          </w:tcPr>
          <w:p>
            <w:r>
              <w:t>Modelo local sin salida a internet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Fail-closed por tipo y origen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Gates</w:t>
            </w:r>
          </w:p>
        </w:tc>
        <w:tc>
          <w:tcPr>
            <w:tcW w:type="dxa" w:w="2305"/>
          </w:tcPr>
          <w:p>
            <w:r>
              <w:t>Integridad del gate (SLO del 100 %)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Buzón propio de sólo lectura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Nada se persiste; adjuntos hasheados en memoria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Situación de pago derivada, sin estado propio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Control de pagos</w:t>
            </w:r>
          </w:p>
        </w:tc>
        <w:tc>
          <w:tcPr>
            <w:tcW w:type="dxa" w:w="2305"/>
          </w:tcPr>
          <w:p>
            <w:r>
              <w:t>Fuentes inválidas rechazadas enteras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Identidad verificada por Google en el Form de decisiones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Rol exigido por decisión (catálogo cerrado)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Links alterados y objetos inexistentes se rechazan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La aprobación ata el objeto por sha256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Aprobación</w:t>
            </w:r>
          </w:p>
        </w:tc>
        <w:tc>
          <w:tcPr>
            <w:tcW w:type="dxa" w:w="2305"/>
          </w:tcPr>
          <w:p>
            <w:r>
              <w:t>Auditoría append-only con identidad hasheada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Doble aprobación obligatoria por máquina de estados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Lista de prueba del envío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Idempotencia durable y reconciliación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Marca de borrador y adjunto acotado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Contrato de identificadores de Workspace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Cola y envío</w:t>
            </w:r>
          </w:p>
        </w:tc>
        <w:tc>
          <w:tcPr>
            <w:tcW w:type="dxa" w:w="2305"/>
          </w:tcPr>
          <w:p>
            <w:r>
              <w:t>Deadline absoluto, tope por respuesta y 401/403 sin reintento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Almacenamiento de credenciales y contraseñas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Auditoría y reportes sólo de códigos, conteos y hashes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Retención acotada del registro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Registros durables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Contratos operativos no destructivos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Persistencia y auditoría</w:t>
            </w:r>
          </w:p>
        </w:tc>
        <w:tc>
          <w:tcPr>
            <w:tcW w:type="dxa" w:w="2305"/>
          </w:tcPr>
          <w:p>
            <w:r>
              <w:t>Identidad de versión en cada registro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Allowlist de hosts del plano de datos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El token nunca se guarda ni se registra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Cifrado en tránsito de las llamadas a Workspace (TLS)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Escribir es siempre crear nuevo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Integraciones</w:t>
            </w:r>
          </w:p>
        </w:tc>
        <w:tc>
          <w:tcPr>
            <w:tcW w:type="dxa" w:w="2305"/>
          </w:tcPr>
          <w:p>
            <w:r>
              <w:t>Transporte HTTP a mano, superficie enumerable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Mecanismo de identidad (eje 1,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2SV de la cuenta técnica (eje 2,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Riesgo aceptado de la delegación sobre el dominio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Scopes por ambiente (eje 3,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Ítems que exigen Workspace Standard o Plus (eje 6,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Custodia y transporte del secreto (eje 4, I + RA)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Restricción de entrega del lado de Google (eje 3,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Revocación del lado de Google (responsabilidad de DSI)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Propiedad de los recursos (eje 5,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Respuesta a incidentes (eje 7,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Detección de modificaciones no autorizadas (eje 6, I)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Google Workspace</w:t>
            </w:r>
          </w:p>
        </w:tc>
        <w:tc>
          <w:tcPr>
            <w:tcW w:type="dxa" w:w="2305"/>
          </w:tcPr>
          <w:p>
            <w:r>
              <w:t>Alerta automática de claves nuevas (eje 6, P)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NIST CSF como marco del sistema (declaración única)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Gestión de sesiones de usuarios humanos del agente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Perímetro de red y WAF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Secretos fuera del repo y del log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Respaldo sin cifrado del lado cliente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Cifrado en tránsito hacia el modelo local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 versión y arranque fail-closed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Lista cerrada de cuentas suplantables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Registro y aviso de cambios de configuración por entorno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Control de cambios: CI, cobertura y linter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Protección de la rama `main` y plantilla de PR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Manifest del inventario y foto de los anexos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detección de anomalías del lado del agente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límite de tasa (rate limiting)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colector externo de logs ni cadena de eventos con integridad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límites de recursos del proceso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aislamiento de ejecución del modelo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secret scanning automatizado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Sin auditoría de dependencias (SCA)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Calidad de datos de las entradas (ISO 25012)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  <w:tr>
        <w:tc>
          <w:tcPr>
            <w:tcW w:type="dxa" w:w="1521"/>
          </w:tcPr>
          <w:p>
            <w:r>
              <w:t>Sistema</w:t>
            </w:r>
          </w:p>
        </w:tc>
        <w:tc>
          <w:tcPr>
            <w:tcW w:type="dxa" w:w="2305"/>
          </w:tcPr>
          <w:p>
            <w:r>
              <w:t>Host de demostración D3</w:t>
            </w:r>
          </w:p>
        </w:tc>
        <w:tc>
          <w:tcPr>
            <w:tcW w:type="dxa" w:w="505"/>
          </w:tcPr>
          <w:p>
            <w:r/>
          </w:p>
        </w:tc>
        <w:tc>
          <w:tcPr>
            <w:tcW w:type="dxa" w:w="371"/>
          </w:tcPr>
          <w:p>
            <w:r/>
          </w:p>
        </w:tc>
        <w:tc>
          <w:tcPr>
            <w:tcW w:type="dxa" w:w="419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839"/>
          </w:tcPr>
          <w:p>
            <w:r/>
          </w:p>
        </w:tc>
        <w:tc>
          <w:tcPr>
            <w:tcW w:type="dxa" w:w="732"/>
          </w:tcPr>
          <w:p>
            <w:r/>
          </w:p>
        </w:tc>
        <w:tc>
          <w:tcPr>
            <w:tcW w:type="dxa" w:w="1081"/>
          </w:tcPr>
          <w:p>
            <w:r/>
          </w:p>
        </w:tc>
      </w:tr>
    </w:tbl>
    <w:p w14:paraId="5212623F" w14:textId="3A171D86" w:rsidR="00DC3162" w:rsidRDefault="00DC3162" w:rsidP="00DC3162"/>
    <w:p w14:paraId="718372E1" w14:textId="77777777" w:rsidR="00021D4D" w:rsidRPr="00021D4D" w:rsidRDefault="00021D4D" w:rsidP="00021D4D">
      <w:pPr>
        <w:jc w:val="both"/>
        <w:rPr>
          <w:b/>
          <w:bCs/>
          <w:smallCaps/>
          <w:sz w:val="24"/>
          <w:szCs w:val="24"/>
        </w:rPr>
      </w:pPr>
      <w:r w:rsidRPr="00021D4D">
        <w:rPr>
          <w:b/>
          <w:bCs/>
          <w:smallCaps/>
          <w:sz w:val="24"/>
          <w:szCs w:val="24"/>
        </w:rPr>
        <w:t>Referencias:</w:t>
      </w:r>
    </w:p>
    <w:p w14:paraId="5ADB113B" w14:textId="4CBF5247" w:rsidR="00021D4D" w:rsidRDefault="00021D4D" w:rsidP="00021D4D">
      <w:pPr>
        <w:jc w:val="both"/>
        <w:rPr>
          <w:sz w:val="24"/>
          <w:szCs w:val="24"/>
        </w:rPr>
      </w:pPr>
      <w:r>
        <w:rPr>
          <w:sz w:val="24"/>
          <w:szCs w:val="24"/>
        </w:rPr>
        <w:t>El Equipo de Proyecto completará esta tabla consignando los factores y atributos de seguridad que se establecieron para el proyecto, en el orden de prioridad que se estableció para facilitar la evaluación.</w:t>
      </w:r>
    </w:p>
    <w:p w14:paraId="23D46E62" w14:textId="77777777" w:rsidR="008001EE" w:rsidRPr="00D863CF" w:rsidRDefault="008001EE" w:rsidP="00DC3162"/>
    <w:p w14:paraId="2FC931C8" w14:textId="32B15ACB" w:rsidR="00DC3162" w:rsidRDefault="00DC3162" w:rsidP="00CC7153">
      <w:pPr>
        <w:jc w:val="both"/>
        <w:rPr>
          <w:sz w:val="24"/>
          <w:szCs w:val="24"/>
        </w:rPr>
      </w:pPr>
    </w:p>
    <w:p w14:paraId="58F4E813" w14:textId="467801EF" w:rsidR="00E46571" w:rsidRDefault="00E46571" w:rsidP="00CC7153">
      <w:pPr>
        <w:jc w:val="both"/>
        <w:rPr>
          <w:sz w:val="24"/>
          <w:szCs w:val="24"/>
        </w:rPr>
      </w:pPr>
    </w:p>
    <w:p w14:paraId="04EF1049" w14:textId="6250678E" w:rsidR="00E46571" w:rsidRDefault="00E46571" w:rsidP="00CC7153">
      <w:pPr>
        <w:jc w:val="both"/>
        <w:rPr>
          <w:sz w:val="24"/>
          <w:szCs w:val="24"/>
        </w:rPr>
      </w:pPr>
    </w:p>
    <w:p w14:paraId="41A1A4C7" w14:textId="713B393C" w:rsidR="00E46571" w:rsidRDefault="00E46571" w:rsidP="00CC7153">
      <w:pPr>
        <w:jc w:val="both"/>
        <w:rPr>
          <w:sz w:val="24"/>
          <w:szCs w:val="24"/>
        </w:rPr>
      </w:pPr>
    </w:p>
    <w:p w14:paraId="080FB5ED" w14:textId="77777777" w:rsidR="00E46571" w:rsidRDefault="00E46571" w:rsidP="00CC7153">
      <w:pPr>
        <w:jc w:val="both"/>
        <w:rPr>
          <w:sz w:val="24"/>
          <w:szCs w:val="24"/>
        </w:rPr>
      </w:pPr>
    </w:p>
    <w:sectPr w:rsidR="00E46571" w:rsidSect="00EE654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8" w:right="1134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9366E" w14:textId="77777777" w:rsidR="00073238" w:rsidRDefault="00073238" w:rsidP="004E21F1">
      <w:pPr>
        <w:spacing w:after="0" w:line="240" w:lineRule="auto"/>
      </w:pPr>
      <w:r>
        <w:separator/>
      </w:r>
    </w:p>
  </w:endnote>
  <w:endnote w:type="continuationSeparator" w:id="0">
    <w:p w14:paraId="5C3DA4DD" w14:textId="77777777" w:rsidR="00073238" w:rsidRDefault="00073238" w:rsidP="004E21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E724B" w14:textId="77777777" w:rsidR="00F74F48" w:rsidRDefault="00F74F4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6666F" w14:textId="77777777" w:rsidR="00F74F48" w:rsidRDefault="00F74F4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0D5E2" w14:textId="77777777" w:rsidR="00F74F48" w:rsidRDefault="00F74F4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C8CD9" w14:textId="77777777" w:rsidR="00073238" w:rsidRDefault="00073238" w:rsidP="004E21F1">
      <w:pPr>
        <w:spacing w:after="0" w:line="240" w:lineRule="auto"/>
      </w:pPr>
      <w:r>
        <w:separator/>
      </w:r>
    </w:p>
  </w:footnote>
  <w:footnote w:type="continuationSeparator" w:id="0">
    <w:p w14:paraId="26C946AB" w14:textId="77777777" w:rsidR="00073238" w:rsidRDefault="00073238" w:rsidP="004E21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38032" w14:textId="77777777" w:rsidR="00F74F48" w:rsidRDefault="00F74F4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176B8" w14:textId="4C58AEAD" w:rsidR="003B278C" w:rsidRDefault="003B278C" w:rsidP="003B278C">
    <w:pPr>
      <w:pStyle w:val="Encabezado"/>
      <w:rPr>
        <w:rFonts w:ascii="Lucida Bright" w:hAnsi="Lucida Bright"/>
        <w:i/>
        <w:iCs/>
      </w:rPr>
    </w:pPr>
    <w:r w:rsidRPr="004E21F1">
      <w:rPr>
        <w:rFonts w:ascii="Lucida Bright" w:hAnsi="Lucida Bright"/>
        <w:i/>
        <w:iCs/>
      </w:rPr>
      <w:t>FIE - UNDEF</w:t>
    </w:r>
    <w:r w:rsidRPr="004E21F1">
      <w:rPr>
        <w:rFonts w:ascii="Lucida Bright" w:hAnsi="Lucida Bright"/>
        <w:i/>
        <w:iCs/>
      </w:rPr>
      <w:ptab w:relativeTo="margin" w:alignment="center" w:leader="none"/>
    </w:r>
    <w:r w:rsidRPr="004E21F1">
      <w:rPr>
        <w:rFonts w:ascii="Lucida Bright" w:hAnsi="Lucida Bright"/>
        <w:i/>
        <w:iCs/>
      </w:rPr>
      <w:t>Proyecto de Promoción y Síntesis</w:t>
    </w:r>
    <w:r w:rsidRPr="004E21F1">
      <w:rPr>
        <w:rFonts w:ascii="Lucida Bright" w:hAnsi="Lucida Bright"/>
        <w:i/>
        <w:iCs/>
      </w:rPr>
      <w:ptab w:relativeTo="margin" w:alignment="right" w:leader="none"/>
    </w:r>
    <w:r>
      <w:rPr>
        <w:rFonts w:ascii="Lucida Bright" w:hAnsi="Lucida Bright"/>
        <w:i/>
        <w:iCs/>
      </w:rPr>
      <w:t>Ciclo Lectivo 202</w:t>
    </w:r>
    <w:r w:rsidR="006041A0">
      <w:rPr>
        <w:rFonts w:ascii="Lucida Bright" w:hAnsi="Lucida Bright"/>
        <w:i/>
        <w:iCs/>
      </w:rPr>
      <w:t>5</w:t>
    </w:r>
  </w:p>
  <w:p w14:paraId="25A41F14" w14:textId="77777777" w:rsidR="003B278C" w:rsidRPr="004E21F1" w:rsidRDefault="003B278C" w:rsidP="003B278C">
    <w:pPr>
      <w:pStyle w:val="Encabezado"/>
      <w:rPr>
        <w:rFonts w:ascii="Lucida Bright" w:hAnsi="Lucida Bright"/>
        <w:i/>
        <w:iCs/>
      </w:rPr>
    </w:pPr>
    <w:r>
      <w:rPr>
        <w:rFonts w:ascii="Lucida Bright" w:hAnsi="Lucida Bright"/>
        <w:i/>
        <w:iCs/>
      </w:rPr>
      <w:tab/>
      <w:t>Ingeniería Informática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6E93" w14:textId="77777777" w:rsidR="00F74F48" w:rsidRDefault="00F74F4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E5B"/>
    <w:multiLevelType w:val="hybridMultilevel"/>
    <w:tmpl w:val="DF5C4D2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755039"/>
    <w:multiLevelType w:val="hybridMultilevel"/>
    <w:tmpl w:val="BEEE3AA8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5478E"/>
    <w:multiLevelType w:val="hybridMultilevel"/>
    <w:tmpl w:val="864A34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66600E"/>
    <w:multiLevelType w:val="hybridMultilevel"/>
    <w:tmpl w:val="895C1D18"/>
    <w:lvl w:ilvl="0" w:tplc="2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7BF5DE9"/>
    <w:multiLevelType w:val="hybridMultilevel"/>
    <w:tmpl w:val="6AB88B4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6B2062"/>
    <w:multiLevelType w:val="hybridMultilevel"/>
    <w:tmpl w:val="3E628C5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592749">
    <w:abstractNumId w:val="3"/>
  </w:num>
  <w:num w:numId="2" w16cid:durableId="2020541122">
    <w:abstractNumId w:val="1"/>
  </w:num>
  <w:num w:numId="3" w16cid:durableId="1461846717">
    <w:abstractNumId w:val="2"/>
  </w:num>
  <w:num w:numId="4" w16cid:durableId="1051925030">
    <w:abstractNumId w:val="0"/>
  </w:num>
  <w:num w:numId="5" w16cid:durableId="487790465">
    <w:abstractNumId w:val="5"/>
  </w:num>
  <w:num w:numId="6" w16cid:durableId="842743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28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1F1"/>
    <w:rsid w:val="000144F7"/>
    <w:rsid w:val="00021D4D"/>
    <w:rsid w:val="0002629D"/>
    <w:rsid w:val="00073238"/>
    <w:rsid w:val="000C247C"/>
    <w:rsid w:val="001E4BCF"/>
    <w:rsid w:val="001F0BB8"/>
    <w:rsid w:val="002C5098"/>
    <w:rsid w:val="00340E50"/>
    <w:rsid w:val="00360A86"/>
    <w:rsid w:val="003B278C"/>
    <w:rsid w:val="003E3F02"/>
    <w:rsid w:val="00482558"/>
    <w:rsid w:val="004B1E37"/>
    <w:rsid w:val="004E21F1"/>
    <w:rsid w:val="00503E26"/>
    <w:rsid w:val="006041A0"/>
    <w:rsid w:val="00682FC5"/>
    <w:rsid w:val="00722854"/>
    <w:rsid w:val="007402EE"/>
    <w:rsid w:val="007616B6"/>
    <w:rsid w:val="00761CB8"/>
    <w:rsid w:val="008001EE"/>
    <w:rsid w:val="00832944"/>
    <w:rsid w:val="00905C5F"/>
    <w:rsid w:val="00972AF8"/>
    <w:rsid w:val="00A17BDF"/>
    <w:rsid w:val="00AB202B"/>
    <w:rsid w:val="00BF1B7E"/>
    <w:rsid w:val="00C20397"/>
    <w:rsid w:val="00CC6C86"/>
    <w:rsid w:val="00CC7153"/>
    <w:rsid w:val="00CF2529"/>
    <w:rsid w:val="00D6261B"/>
    <w:rsid w:val="00DC3162"/>
    <w:rsid w:val="00E1173B"/>
    <w:rsid w:val="00E35E19"/>
    <w:rsid w:val="00E46571"/>
    <w:rsid w:val="00EB5D72"/>
    <w:rsid w:val="00EE6546"/>
    <w:rsid w:val="00F74F48"/>
    <w:rsid w:val="00F86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E87A6"/>
  <w15:chartTrackingRefBased/>
  <w15:docId w15:val="{271DADC9-E92B-46B2-827E-BA33895EF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E21F1"/>
  </w:style>
  <w:style w:type="paragraph" w:styleId="Piedepgina">
    <w:name w:val="footer"/>
    <w:basedOn w:val="Normal"/>
    <w:link w:val="PiedepginaCar"/>
    <w:uiPriority w:val="99"/>
    <w:unhideWhenUsed/>
    <w:rsid w:val="004E21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E21F1"/>
  </w:style>
  <w:style w:type="paragraph" w:styleId="Prrafodelista">
    <w:name w:val="List Paragraph"/>
    <w:basedOn w:val="Normal"/>
    <w:uiPriority w:val="34"/>
    <w:qFormat/>
    <w:rsid w:val="000144F7"/>
    <w:pPr>
      <w:ind w:left="720"/>
      <w:contextualSpacing/>
      <w:jc w:val="both"/>
    </w:pPr>
  </w:style>
  <w:style w:type="table" w:styleId="Tablaconcuadrcula">
    <w:name w:val="Table Grid"/>
    <w:basedOn w:val="Tablanormal"/>
    <w:uiPriority w:val="39"/>
    <w:rsid w:val="0090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117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Elvira Quiroga</dc:creator>
  <cp:keywords/>
  <dc:description/>
  <cp:lastModifiedBy>elvira quiroga</cp:lastModifiedBy>
  <cp:revision>6</cp:revision>
  <dcterms:created xsi:type="dcterms:W3CDTF">2024-09-24T14:29:00Z</dcterms:created>
  <dcterms:modified xsi:type="dcterms:W3CDTF">2025-05-07T21:31:00Z</dcterms:modified>
</cp:coreProperties>
</file>