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Reporte de Evaluación — Anexo 2 (Calidad)</w:t>
      </w:r>
    </w:p>
    <w:p>
      <w:r>
        <w:t>Proyecto: Agente 1, Extension Bot (PPS Juan Ignacio Goñe)</w:t>
      </w:r>
    </w:p>
    <w:p>
      <w:r>
        <w:t>Contenido derivado de la tabla fuente Documentos/Laboratorio/Perfil-Calidad-Sistema-Demostracion-v1.md (foto del inventario, commit de base 98be859). Las columnas «Nivel de Competencia» y «Nivel de Competencia Global» las completa el laboratorio. La versión sobre la plantilla oficial «3.2 - Anexo 2 - Calidad 2025.docx» queda pendiente de #57.</w:t>
      </w:r>
    </w:p>
    <w:p>
      <w:r>
        <w:t>Factores de Calidad: ISO/IEC 25010:2023, con subcaracterísticas de ISO/IEC 25059:2023, conjunto reducido de ISO/IEC 25012 y fila única de Seguridad que remite al Anexo 3 (#58).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Factor de calidad</w:t>
            </w:r>
          </w:p>
        </w:tc>
        <w:tc>
          <w:tcPr>
            <w:tcW w:type="dxa" w:w="1728"/>
          </w:tcPr>
          <w:p>
            <w:r>
              <w:t>Atributo</w:t>
            </w:r>
          </w:p>
        </w:tc>
        <w:tc>
          <w:tcPr>
            <w:tcW w:type="dxa" w:w="1728"/>
          </w:tcPr>
          <w:p>
            <w:r>
              <w:t>Nivel de Competencia</w:t>
            </w:r>
          </w:p>
        </w:tc>
        <w:tc>
          <w:tcPr>
            <w:tcW w:type="dxa" w:w="1728"/>
          </w:tcPr>
          <w:p>
            <w:r>
              <w:t>Nivel de Competencia Global</w:t>
            </w:r>
          </w:p>
        </w:tc>
        <w:tc>
          <w:tcPr>
            <w:tcW w:type="dxa" w:w="1728"/>
          </w:tcPr>
          <w:p>
            <w:r>
              <w:t>Comentarios</w:t>
            </w:r>
          </w:p>
        </w:tc>
      </w:tr>
      <w:tr>
        <w:tc>
          <w:tcPr>
            <w:tcW w:type="dxa" w:w="1728"/>
          </w:tcPr>
          <w:p>
            <w:r>
              <w:t>Adecuación funcional</w:t>
            </w:r>
          </w:p>
        </w:tc>
        <w:tc>
          <w:tcPr>
            <w:tcW w:type="dxa" w:w="1728"/>
          </w:tcPr>
          <w:p>
            <w:r>
              <w:t>Completitud funcional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HU-010 a HU-014 implementadas dentro del alcance declarado: gacetilla, post (v2 y v3), plantilla de correo por actividad y certificado con línea descriptiva y circuito de lote; los insumos provisionales se declaran y no bajan el estado Evidencia versionada: Implementacion/Agente1/evidencias/regresion-consolidada-2026-09-08.md; Implementacion/Agente1/evidencias/recorrido-emision-certificados-hu014.md; Implementacion/Agente1/evidencias/recorrido-plantilla-actividad-hu012.md; tests/test_matriz_hu010.py, tests/test_matriz_hu012.py, tests/test_matriz_hu014.py. Paso en vivo: `uv run python scripts/matriz_hu014.py --salida &lt;dir&gt;` corre offline el circuito completo de certificados (pendiente, doble aprobación, emisión simulada, DUPLICADA en re-corrida).</w:t>
            </w:r>
          </w:p>
        </w:tc>
      </w:tr>
      <w:tr>
        <w:tc>
          <w:tcPr>
            <w:tcW w:type="dxa" w:w="1728"/>
          </w:tcPr>
          <w:p>
            <w:r>
              <w:t>Adecuación funcional</w:t>
            </w:r>
          </w:p>
        </w:tc>
        <w:tc>
          <w:tcPr>
            <w:tcW w:type="dxa" w:w="1728"/>
          </w:tcPr>
          <w:p>
            <w:r>
              <w:t>Corrección del sistema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Interpretación: La solicitud se clasifica a una intención del catálogo cerrado vigente (`intenciones_v3`, PROVISIONAL_NO_INSTITUCIONAL) o se rechaza; nunca se aproxima a la más parecida; el contenido de la planilla de actividades no llega al prompt del intérprete / Gates: Integridad del gate (SLO del 100 %): ninguna pieza no conforme se presenta como conforme; cada regla tiene código y caso negativo; el catálogo de tipos de notificación es cerrado; un origen `DESCONOCIDO` bloquea el envío / Control de pagos: La situación de pago se deriva de las fuentes en cada corrida, como función pura sin estado propio (ADR 0003); un comprobante presentado nunca cuenta como pago confirmado (D1/D9); una respuesta de baja no asociada se informa sin interpretar su contenido / Cola y envío: La doble aprobación es requisito de la máquina de estados (DEF-A1-016): sin las dos decisiones no hay encolado; `ENVIO_INDETERMINADO` nunca reenvía sin cruzar con Enviados Evidencia versionada: Implementacion/Agente1/src/agente1/contracts/intenciones_v3.schema.json; tests/test_interpretacion.py (fuera de alcance no se aproxima; la planilla no llega al prompt; intención sin despacho rechazada); tests/test_politica_redes.py; tests/test_tipos_notificacion.py; tests/test_matriz_origenes_inscripcion.py; Implementacion/Agente1/evidencias/regresion-consolidada-2026-09-08.md (las 6 salidas v3 incumplidas se detectaron y rechazaron); tests/test_pagos.py; tests/test_novedades_pagos.py; tests/test_cli_pagos.py; tests/test_buzon_gmail.py; tests/test_confirmaciones.py; tests/test_confirmaciones_durables.py; Implementacion/Agente1/evidencias/limites-hu012-offline.md. Paso en vivo: `uv run pytest -q tests/test_interpretacion.py -k "fuera_de_alcance or catalogo"` / `uv run pytest -q tests/test_politica_redes.py tests/test_tipos_notificacion.py` corre las reglas con su caso negativo / `uv run python -m agente1 control-pagos --plan data/plan_pagos_notebooklm_n2.csv --padron data/padron_pagos_sintetico.csv --buzon &lt;dir&gt;` produce el informe JSON ordenado por stdout / `uv run python scripts/matriz_hu012.py --salida &lt;dir&gt;` muestra que con aprobación parcial no hay encolado.</w:t>
            </w:r>
          </w:p>
        </w:tc>
      </w:tr>
      <w:tr>
        <w:tc>
          <w:tcPr>
            <w:tcW w:type="dxa" w:w="1728"/>
          </w:tcPr>
          <w:p>
            <w:r>
              <w:t>Adecuación funcional</w:t>
            </w:r>
          </w:p>
        </w:tc>
        <w:tc>
          <w:tcPr>
            <w:tcW w:type="dxa" w:w="1728"/>
          </w:tcPr>
          <w:p>
            <w:r>
              <w:t>Corrección del contenido generado (25059)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B. Nivel verificado de conformidad al gate: HU-010 con 6/6 borradores conformes (corte del 08/09); HU-011 v3 con redacción libre: 1/6 con `llama3.2:3b` y 4/6 con `llama3.1:8b` (23/09). El incumplimiento residual es de obediencia del modelo y lo contiene el gate fail-closed más la validación humana obligatoria. PENDIENTE #51: el modelo definitivo refresca la medición Evidencia versionada: Implementacion/Agente1/evidencias/regresion-consolidada-2026-09-08.md; Implementacion/Agente1/evidencias/medicion-hu011-v3-modelos-2026-09-23.md; Implementacion/Agente1/evidencias/medicion-hu011-v3-positivo-2026-09-23.md. Paso en vivo: `uv run python scripts/matriz_hu011_v2.py --salida &lt;dir&gt;` corre la matriz determinista mostrando el gate y el estado `PENDIENTE_VALIDACION`.</w:t>
            </w:r>
          </w:p>
        </w:tc>
      </w:tr>
      <w:tr>
        <w:tc>
          <w:tcPr>
            <w:tcW w:type="dxa" w:w="1728"/>
          </w:tcPr>
          <w:p>
            <w:r>
              <w:t>Adecuación funcional</w:t>
            </w:r>
          </w:p>
        </w:tc>
        <w:tc>
          <w:tcPr>
            <w:tcW w:type="dxa" w:w="1728"/>
          </w:tcPr>
          <w:p>
            <w:r>
              <w:t>Pertinencia funcional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El catálogo declara exactamente las operaciones del alcance (gacetilla, post, plantilla por actividad, emisión de certificados, ajuste, newsletter, mail); cualquier otra solicitud termina `INVALIDA` o `RECHAZADA` Evidencia versionada: tests/test_interpretacion.py (catálogo declara exactamente las intenciones de la spec); Implementacion/Agente1/src/agente1/contracts/intenciones_v3.schema.json. Paso en vivo: `uv run pytest -q tests/test_interpretacion.py -k "catalogo_declara"`.</w:t>
            </w:r>
          </w:p>
        </w:tc>
      </w:tr>
      <w:tr>
        <w:tc>
          <w:tcPr>
            <w:tcW w:type="dxa" w:w="1728"/>
          </w:tcPr>
          <w:p>
            <w:r>
              <w:t>Adecuación funcional</w:t>
            </w:r>
          </w:p>
        </w:tc>
        <w:tc>
          <w:tcPr>
            <w:tcW w:type="dxa" w:w="1728"/>
          </w:tcPr>
          <w:p>
            <w:r>
              <w:t>Adaptabilidad funcional (25059)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No aplica. El modelo no aprende ni adapta su comportamiento durante la operación; cada ejecución es independiente (resolución de #59)</w:t>
            </w:r>
          </w:p>
        </w:tc>
      </w:tr>
      <w:tr>
        <w:tc>
          <w:tcPr>
            <w:tcW w:type="dxa" w:w="1728"/>
          </w:tcPr>
          <w:p>
            <w:r>
              <w:t>Eficiencia de desempeño</w:t>
            </w:r>
          </w:p>
        </w:tc>
        <w:tc>
          <w:tcPr>
            <w:tcW w:type="dxa" w:w="1728"/>
          </w:tcPr>
          <w:p>
            <w:r>
              <w:t>Comportamiento temporal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C. Los SLO de comportamiento temporal no tienen nivel verificado a la fecha: latencia por pieza con objetivo pendiente de la medición de #50 sobre el modelo de #51; tiempo de atención (Form a aviso, p95 menor o igual al intervalo de sondeo más 5 min) y aprobación a envío (p95 menor o igual a dos sondeos) con medición pendiente de #88. Mediciones históricas, que no verifican el SLO: benchmark del 26/08 con p50 entre 19,5 y 21,3 s por generación; live D2 del 28/09 con 18,6 s en caliente y timeouts a 45 s en frío. PENDIENTE #50, #51, #88 Evidencia versionada: Implementacion/Agente1/evidencias/benchmark-capacidad-a1-2026-08-26.md; notas/workspace-live-d2-2026-09-28.md.</w:t>
            </w:r>
          </w:p>
        </w:tc>
      </w:tr>
      <w:tr>
        <w:tc>
          <w:tcPr>
            <w:tcW w:type="dxa" w:w="1728"/>
          </w:tcPr>
          <w:p>
            <w:r>
              <w:t>Eficiencia de desempeño</w:t>
            </w:r>
          </w:p>
        </w:tc>
        <w:tc>
          <w:tcPr>
            <w:tcW w:type="dxa" w:w="1728"/>
          </w:tcPr>
          <w:p>
            <w:r>
              <w:t>Utilización de recursos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C. Sin medición versionada de RAM/CPU a la fecha; la aporta #50 sobre el hardware de la demo. PENDIENTE #50</w:t>
            </w:r>
          </w:p>
        </w:tc>
      </w:tr>
      <w:tr>
        <w:tc>
          <w:tcPr>
            <w:tcW w:type="dxa" w:w="1728"/>
          </w:tcPr>
          <w:p>
            <w:r>
              <w:t>Eficiencia de desempeño</w:t>
            </w:r>
          </w:p>
        </w:tc>
        <w:tc>
          <w:tcPr>
            <w:tcW w:type="dxa" w:w="1728"/>
          </w:tcPr>
          <w:p>
            <w:r>
              <w:t>Capacidad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B. Medido el 26/08 con `llama3.2:3b`: el volumen informado por la SEU (36 generaciones mensuales) consume entre 701 y 766 s de cómputo a p50, menos del 4 % de una jornada. La medición se rehace con el modelo definitivo de #51. PENDIENTE #51 Evidencia versionada: Implementacion/Agente1/evidencias/benchmark-capacidad-a1-2026-08-26.md. Paso en vivo: `uv run python -m agente1 --csv data/actividades_sinteticas.csv --id-solicitud SYN-001 --salida &lt;dir&gt;` corre una generación con su latencia auditada en el log; con `--ollama-model` corre contra el modelo local (declarado, 20 a 40 s en CPU caliente).</w:t>
            </w:r>
          </w:p>
        </w:tc>
      </w:tr>
      <w:tr>
        <w:tc>
          <w:tcPr>
            <w:tcW w:type="dxa" w:w="1728"/>
          </w:tcPr>
          <w:p>
            <w:r>
              <w:t>Compatibilidad</w:t>
            </w:r>
          </w:p>
        </w:tc>
        <w:tc>
          <w:tcPr>
            <w:tcW w:type="dxa" w:w="1728"/>
          </w:tcPr>
          <w:p>
            <w:r>
              <w:t>Interoperabilidad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A/B/C. Canal: El canal declarado (Form restringido al dominio con correo verificado, leído sólo por su Sheet de respuestas, ADR 0005) está implementado con live de doble opt-in; la ejecución live del canal queda como paso declarado, la evidencia versionada es offline / Aprobación: El Form de decisiones (ADR 0008) está implementado con runner live de doble opt-in; la identidad verificada por Google sólo existe en live: ejecución declarada como paso, no corrida a la fecha / Integraciones: Workspace D2 verificado live el 28/09 (parte `A`): smoke de lectura, negativos y E2E de gacetilla con Doc real `BORRADOR — NO PUBLICAR` en la carpeta autorizada, sin tocar nada existente. Insumos de A3 por productor provisional declarado (parte `B`). Seam de A2 offline sin transporte ni contrato cerrado y A4/A5 con sólo contrato candidato (parte `C`, previstas). La provisión D3 sigue abierta Evidencia versionada: tests/test_canal_form.py (lector crudo, padrón, avisos); Implementacion/Agente1/evidencias/recorrido-registro-decisiones-form.md; tests/test_decisiones_form.py; notas/workspace-live-d2-2026-09-28.md; Implementacion/Agente1/evidencias/runbook-workspace-e2e.md; Implementacion/Agente1/evidencias/limites-historia-viva-cliente.md; tests/test_workspace_e2e_runner.py, tests/test_workspace_e2e_script.py. Paso en vivo: Paso declarado para la revisión: `uv run python scripts/atender_canal_form.py --live --confirm-write-workspace --directorio &lt;dir&gt;` con un pedido respondido en el Form de D2; requiere credencial vigente y modelo caliente / Paso declarado para la revisión: `uv run python scripts/registrar_form_decisiones.py --live --confirm-write-workspace --directorio &lt;dir&gt;` con el Form de decisiones respondido en D2 / Paso declarado para la revisión: `uv run python scripts/workspace_e2e.py --live --confirm-write-workspace --tipo gacetilla --id-solicitud &lt;id&gt;` crea el Doc borrador en la carpeta de D2 (requiere credencial vigente y modelo caliente). Respaldo offline: `uv run python scripts/workspace_e2e.py` muestra la reserva `DUPLICADA` sin segunda copia.</w:t>
            </w:r>
          </w:p>
        </w:tc>
      </w:tr>
      <w:tr>
        <w:tc>
          <w:tcPr>
            <w:tcW w:type="dxa" w:w="1728"/>
          </w:tcPr>
          <w:p>
            <w:r>
              <w:t>Compatibilidad</w:t>
            </w:r>
          </w:p>
        </w:tc>
        <w:tc>
          <w:tcPr>
            <w:tcW w:type="dxa" w:w="1728"/>
          </w:tcPr>
          <w:p>
            <w:r>
              <w:t>Coexistencia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Cola y envío: Escribir es siempre crear nuevo; `gmail.send` opera cercado por la lista de prueba con rechazo previo al token y a la red; un envío sin registro previo no crea nada / Integraciones: Escribir es siempre crear nuevo (Docs, Drive, Gmail); allowlist de hosts, tope de 1 MiB por respuesta, deadline absoluto y 401/403 sin reintento Evidencia versionada: tests/test_gmail_envio.py (rechazo antes de token y de red); tests/test_confirmaciones_durables.py (envío sin registro no crea nada); notas/workspace-live-d2-2026-09-28.md (la corrida live sólo creó un Doc nuevo); tests/test_google_docs.py; tests/test_google_sheets.py. Paso en vivo: `uv run pytest -q tests/test_gmail_envio.py -k "lista_de_prueba or rechazado"` / `uv run pytest -q tests/test_google_sheets.py -k "response_too_large or deadline"` muestra los límites del cliente.</w:t>
            </w:r>
          </w:p>
        </w:tc>
      </w:tr>
      <w:tr>
        <w:tc>
          <w:tcPr>
            <w:tcW w:type="dxa" w:w="1728"/>
          </w:tcPr>
          <w:p>
            <w:r>
              <w:t>Capacidad de interacción</w:t>
            </w:r>
          </w:p>
        </w:tc>
        <w:tc>
          <w:tcPr>
            <w:tcW w:type="dxa" w:w="1728"/>
          </w:tcPr>
          <w:p>
            <w:r>
              <w:t>Reconocibilidad de la adecuación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B. Los instrumentos para que la SEU reconozca la adecuación están versionados (checklists por HU, paquete de muestras, protocolo, instrumento de prueba guiada); la validación registrada está pendiente de #56. PENDIENTE #56 Evidencia versionada: Implementacion/Agente1/evidencias/checklist-validacion-humana-hu010.md; Implementacion/Agente1/evidencias/checklist-validacion-humana-hu011.md; Implementacion/Agente1/evidencias/checklist-validacion-humana-hu012.md; Documentos/PoC/Validacion-SEU/. Paso en vivo: Abrir el checklist de una HU junto con el paquete de muestras.</w:t>
            </w:r>
          </w:p>
        </w:tc>
      </w:tr>
      <w:tr>
        <w:tc>
          <w:tcPr>
            <w:tcW w:type="dxa" w:w="1728"/>
          </w:tcPr>
          <w:p>
            <w:r>
              <w:t>Capacidad de interacción</w:t>
            </w:r>
          </w:p>
        </w:tc>
        <w:tc>
          <w:tcPr>
            <w:tcW w:type="dxa" w:w="1728"/>
          </w:tcPr>
          <w:p>
            <w:r>
              <w:t>Aprendizaje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C. Previsto y no implementado: el manual de operación es #81 y la prueba guiada con la SEU es #56. PENDIENTE #81, #56</w:t>
            </w:r>
          </w:p>
        </w:tc>
      </w:tr>
      <w:tr>
        <w:tc>
          <w:tcPr>
            <w:tcW w:type="dxa" w:w="1728"/>
          </w:tcPr>
          <w:p>
            <w:r>
              <w:t>Capacidad de interacción</w:t>
            </w:r>
          </w:p>
        </w:tc>
        <w:tc>
          <w:tcPr>
            <w:tcW w:type="dxa" w:w="1728"/>
          </w:tcPr>
          <w:p>
            <w:r>
              <w:t>Operabilidad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B. Operación por runners versionados y runbooks por tramo (canal planilla, Form, decisiones, E2E Workspace, operaciones seguras); la conformidad operativa de la SEU (al menos 3/4 en el instrumento) está pendiente de #56. PENDIENTE #56 Evidencia versionada: Implementacion/Agente1/evidencias/runbook-workspace-e2e.md; Implementacion/Agente1/evidencias/runbook-operaciones-seguras-d2-d3.md; Implementacion/Agente1/evidencias/recorrido-prueba-guiada-canal-planilla.md. Paso en vivo: `uv run python scripts/workspace_e2e.py` corre offline el circuito completo siguiendo el runbook.</w:t>
            </w:r>
          </w:p>
        </w:tc>
      </w:tr>
      <w:tr>
        <w:tc>
          <w:tcPr>
            <w:tcW w:type="dxa" w:w="1728"/>
          </w:tcPr>
          <w:p>
            <w:r>
              <w:t>Capacidad de interacción</w:t>
            </w:r>
          </w:p>
        </w:tc>
        <w:tc>
          <w:tcPr>
            <w:tcW w:type="dxa" w:w="1728"/>
          </w:tcPr>
          <w:p>
            <w:r>
              <w:t>Protección contra errores del usuario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El canal nunca decide por la persona: identificador inexistente o ambiguo produce repregunta con candidatas e identificadores, nunca una elección silenciosa; pedido vacío o fuera de catálogo se rechaza; una fila con identidad incompleta se omite; rol no habilitado queda rechazado y registrado Evidencia versionada: tests/test_interpretacion.py (repregunta por turnos); tests/test_canal_planilla.py (identidad incompleta omitida); tests/test_canal_form.py (rol no habilitado rechazado); Implementacion/Agente1/evidencias/recorrido-prueba-guiada-canal-planilla.md. Paso en vivo: `cd Implementacion/Agente1 &amp;&amp; uv run python scripts/atender_canal_planilla.py --directorio &lt;dir&gt;` con un pedido ambiguo en `pedidos.csv`: el canal responde una repregunta con candidatas y, al responder «la 1», produce el borrador.</w:t>
            </w:r>
          </w:p>
        </w:tc>
      </w:tr>
      <w:tr>
        <w:tc>
          <w:tcPr>
            <w:tcW w:type="dxa" w:w="1728"/>
          </w:tcPr>
          <w:p>
            <w:r>
              <w:t>Capacidad de interacción</w:t>
            </w:r>
          </w:p>
        </w:tc>
        <w:tc>
          <w:tcPr>
            <w:tcW w:type="dxa" w:w="1728"/>
          </w:tcPr>
          <w:p>
            <w:r>
              <w:t>Compromiso del usuario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No aplica. El uso es asignado por rol dentro del Proceso 4; no es una adopción voluntaria que el atributo pudiera medir (resolución de #59)</w:t>
            </w:r>
          </w:p>
        </w:tc>
      </w:tr>
      <w:tr>
        <w:tc>
          <w:tcPr>
            <w:tcW w:type="dxa" w:w="1728"/>
          </w:tcPr>
          <w:p>
            <w:r>
              <w:t>Capacidad de interacción</w:t>
            </w:r>
          </w:p>
        </w:tc>
        <w:tc>
          <w:tcPr>
            <w:tcW w:type="dxa" w:w="1728"/>
          </w:tcPr>
          <w:p>
            <w:r>
              <w:t>Inclusividad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No aplica. Herramienta interna con pocos usuarios designados por rol; no hay requisito de accesibilidad ni público general (resolución de #59)</w:t>
            </w:r>
          </w:p>
        </w:tc>
      </w:tr>
      <w:tr>
        <w:tc>
          <w:tcPr>
            <w:tcW w:type="dxa" w:w="1728"/>
          </w:tcPr>
          <w:p>
            <w:r>
              <w:t>Capacidad de interacción</w:t>
            </w:r>
          </w:p>
        </w:tc>
        <w:tc>
          <w:tcPr>
            <w:tcW w:type="dxa" w:w="1728"/>
          </w:tcPr>
          <w:p>
            <w:r>
              <w:t>Asistencia al usuario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C. Previsto y no implementado: sin manual ni canal de asistencia a la fecha (#81, #56). PENDIENTE #81, #56</w:t>
            </w:r>
          </w:p>
        </w:tc>
      </w:tr>
      <w:tr>
        <w:tc>
          <w:tcPr>
            <w:tcW w:type="dxa" w:w="1728"/>
          </w:tcPr>
          <w:p>
            <w:r>
              <w:t>Capacidad de interacción</w:t>
            </w:r>
          </w:p>
        </w:tc>
        <w:tc>
          <w:tcPr>
            <w:tcW w:type="dxa" w:w="1728"/>
          </w:tcPr>
          <w:p>
            <w:r>
              <w:t>Controlabilidad (25059)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Gates: Nada habilita a ciegas: un tipo fuera del catálogo es `INVALIDA`, un origen no permitido bloquea el envío y una regla `NO_MECANIZABLE` no se aplica ni se declara cumplida / Aprobación: Doble aprobación obligatoria (semántica más utilitaria) por catálogo cerrado de tipo y decisión por rol; un objeto de decisión sólo vale si fue declarado pendiente; registrar una decisión no dispara ninguna acción / Cola y envío: Nada se envía sin plantilla aprobada más aprobación de lote; el estado `manual_only` exige decisión humana para reintentar Evidencia versionada: tests/test_tipos_notificacion.py; tests/test_matriz_origenes_inscripcion.py; tests/test_politica_redes.py; tests/test_decisiones_form.py; tests/test_confirmaciones.py; Implementacion/Agente1/evidencias/recorrido-registro-decisiones-form.md; Implementacion/Agente1/evidencias/limites-hu012-offline.md; Implementacion/Agente1/evidencias/runbook-workspace-e2e.md. Paso en vivo: `uv run pytest -q tests/test_matriz_origenes_inscripcion.py` / `uv run python scripts/registrar_form_decisiones.py --directorio &lt;dir&gt; --respuestas-csv &lt;csv&gt;` procesa el fixture offline y muestra `registrada` o `rechazada` con código / `uv run pytest -q tests/test_confirmaciones.py -k "aprobacion or envio"`.</w:t>
            </w:r>
          </w:p>
        </w:tc>
      </w:tr>
      <w:tr>
        <w:tc>
          <w:tcPr>
            <w:tcW w:type="dxa" w:w="1728"/>
          </w:tcPr>
          <w:p>
            <w:r>
              <w:t>Capacidad de interacción</w:t>
            </w:r>
          </w:p>
        </w:tc>
        <w:tc>
          <w:tcPr>
            <w:tcW w:type="dxa" w:w="1728"/>
          </w:tcPr>
          <w:p>
            <w:r>
              <w:t>Transparencia (25059)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Canal: La prosa del pedido no se persiste en claro: ni en el registro de atendidos, ni en el aviso, ni en el link de repregunta / Interpretación: El registro de interacciones conserva sólo el derivado estructurado; la interacción pendiente guarda lo que produjo el agente, nunca prosa del pedido / Generación: Toda salida es borrador con marca de estado (`PENDIENTE_VALIDACION`, `BORRADOR — NO PUBLICAR`); cada generación queda en el log JSONL con correlation id, hashes de fuente, prompt, contrato, política y modelo, y latencia, sin contenido / Control de pagos: El informe sale por stdout en JSON ordenado y nada se persiste (ADR 0003); las novedades aplicadas y las erróneas se informan con código / Aprobación: Las decisiones quedan en el append-only `decisiones-procesadas.jsonl` con identidad hasheada y fecha con zona horaria; el correo verificado no queda en claro / Persistencia y auditoría: Manifest sanitizado por ejecución; auditorías y reportes exponen sólo códigos, conteos y hashes; la auditoría no copia destinatarios ni cuerpos Evidencia versionada: tests/test_canal_form.py (prosa no persistida en registro ni aviso, link sin prosa); tests/test_interpretacion.py (registro conserva sólo el derivado estructurado); tests/test_interpretacion.py (registro con derivado estructurado; pendiente sin prosa); Implementacion/Agente1/evidencias/manifest-hu010-syn001.json; Implementacion/Agente1/evidencias/manifest-corte-2026-09-08.json; tests/test_procesar_gacetilla.py; tests/test_cli_pagos.py; tests/test_decisiones_form.py; Implementacion/Agente1/evidencias/recorrido-registro-decisiones-form.md; Implementacion/Agente1/evidencias/auditoria-seguridad-d2-d3.md; Implementacion/Agente1/evidencias/reporte-seguridad-d2-offline-2026-08-17.json; tests/test_auditoria_seguridad_d2.py. Paso en vivo: `uv run pytest -q tests/test_canal_form.py -k "prosa"` corre los casos de no persistencia / `uv run pytest -q tests/test_interpretacion.py -k "registro or pendiente_guardada"` / Correr una generación con `--fake-output` y mostrar la línea de `salida/logs/ejecuciones.jsonl`: sólo códigos, conteos y hashes / Correr el subcomando `control-pagos` con los CSV sintéticos y leer el informe / Registrar una decisión offline y mostrar la línea del JSONL / `uv run python scripts/auditar_seguridad_d2.py --manifest data/security_d2_manifest.synthetic.json --reporte &lt;dir&gt;/reporte.json` y mostrar que el reporte sólo contiene hashes y códigos.</w:t>
            </w:r>
          </w:p>
        </w:tc>
      </w:tr>
      <w:tr>
        <w:tc>
          <w:tcPr>
            <w:tcW w:type="dxa" w:w="1728"/>
          </w:tcPr>
          <w:p>
            <w:r>
              <w:t>Capacidad de interacción</w:t>
            </w:r>
          </w:p>
        </w:tc>
        <w:tc>
          <w:tcPr>
            <w:tcW w:type="dxa" w:w="1728"/>
          </w:tcPr>
          <w:p>
            <w:r>
              <w:t>Intervenibilidad (25059)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La persona puede aprobar, descartar o dejar pendiente; editar la lista de cierre o la plantilla cambia el `sha256` del objeto y la aprobación previa deja de aplicar; `manual_only` ante una ejecución cortada exige decisión humana Evidencia versionada: Implementacion/Agente1/evidencias/recorrido-emision-certificados-hu014.md; Implementacion/Agente1/evidencias/runbook-workspace-e2e.md; tests/test_decisiones_form.py. Paso en vivo: En el circuito offline de `scripts/emitir_certificados.py --actividad &lt;id&gt;`, editar una fila de la lista de cierre y mostrar que el objeto `lote-…` cambia y la aprobación anterior no habilita.</w:t>
            </w:r>
          </w:p>
        </w:tc>
      </w:tr>
      <w:tr>
        <w:tc>
          <w:tcPr>
            <w:tcW w:type="dxa" w:w="1728"/>
          </w:tcPr>
          <w:p>
            <w:r>
              <w:t>Fiabilidad</w:t>
            </w:r>
          </w:p>
        </w:tc>
        <w:tc>
          <w:tcPr>
            <w:tcW w:type="dxa" w:w="1728"/>
          </w:tcPr>
          <w:p>
            <w:r>
              <w:t>Ausencia de fallos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Cero defectos `CRITICA` abiertos y cero `ABIERTO` técnicos al corte; la inconsistencia de versionado observada en un test de empaquetado se registró y corrigió en esta foto (DEF-A1-021, `BAJA`) Evidencia versionada: Documentos/PoC/Registro-Defectos-Agente-1.md; Implementacion/Agente1/evidencias/regresion-consolidada-2026-09-08.md. Paso en vivo: `uv run pytest -q` corre la suite completa en menos de un minuto en la laptop de la demo.</w:t>
            </w:r>
          </w:p>
        </w:tc>
      </w:tr>
      <w:tr>
        <w:tc>
          <w:tcPr>
            <w:tcW w:type="dxa" w:w="1728"/>
          </w:tcPr>
          <w:p>
            <w:r>
              <w:t>Fiabilidad</w:t>
            </w:r>
          </w:p>
        </w:tc>
        <w:tc>
          <w:tcPr>
            <w:tcW w:type="dxa" w:w="1728"/>
          </w:tcPr>
          <w:p>
            <w:r>
              <w:t>Disponibilidad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C. SLO del 99 % de corridas programadas completadas dentro de la ventana de operación (provisional días hábiles de 8 a 16, la confirma la SEU en #56); sin nivel verificado a la fecha: la medición desde la auditoría es #88. PENDIENTE #88 y #56</w:t>
            </w:r>
          </w:p>
        </w:tc>
      </w:tr>
      <w:tr>
        <w:tc>
          <w:tcPr>
            <w:tcW w:type="dxa" w:w="1728"/>
          </w:tcPr>
          <w:p>
            <w:r>
              <w:t>Fiabilidad</w:t>
            </w:r>
          </w:p>
        </w:tc>
        <w:tc>
          <w:tcPr>
            <w:tcW w:type="dxa" w:w="1728"/>
          </w:tcPr>
          <w:p>
            <w:r>
              <w:t>Tolerancia a fallos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Control de pagos: Una fuente inválida (encabezado distinto, columna faltante, fila desalineada) se rechaza entera; un buzón inexistente termina con código controlado; los adjuntos se hashean en memoria / Cola y envío: Reserva intermedia con reconciliación: una reserva colgada pasa a `ENVIO_INDETERMINADO` sin reenviar; la idempotencia por clave absorbe re-corridas (`DUPLICADA`); un destinatario fuera de la lista de prueba se rechaza sin reintento / Persistencia y auditoría: Un registro corrupto se trata como ausente y no habilita entrega; un JSONL corrupto interrumpe la lectura en fail-closed; una clave que no es un hash no elige dónde se escribe Evidencia versionada: tests/test_pagos.py; tests/test_novedades_pagos.py; tests/test_buzon_gmail.py; Implementacion/Agente1/evidencias/recuperacion-hu012-idempotencia-durable-2026-09-08.md; tests/test_confirmaciones_durables.py; tests/test_gmail_envio.py; tests/test_decisiones_form.py. Paso en vivo: `uv run pytest -q tests/test_pagos.py -k "encabezado or desalineada or no_asociadas"` / `uv run pytest -q tests/test_confirmaciones_durables.py -k "reserva or indeterminado or paralelo"` muestra la reserva colgada reconciliada sin reenvío / `uv run pytest -q tests/test_confirmaciones_durables.py -k "corrupto or clave"`.</w:t>
            </w:r>
          </w:p>
        </w:tc>
      </w:tr>
      <w:tr>
        <w:tc>
          <w:tcPr>
            <w:tcW w:type="dxa" w:w="1728"/>
          </w:tcPr>
          <w:p>
            <w:r>
              <w:t>Fiabilidad</w:t>
            </w:r>
          </w:p>
        </w:tc>
        <w:tc>
          <w:tcPr>
            <w:tcW w:type="dxa" w:w="1728"/>
          </w:tcPr>
          <w:p>
            <w:r>
              <w:t>Recuperabilidad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B. Idempotencia durable verificada: el registro archivo-por-clave sobrevive reinicio y una reserva colgada se reconcilia sin reenviar. Los SLO de RPO (menor o igual a un día hábil) y RTO (una jornada siguiendo el manual) quedan previstos del respaldo diario (ADR 0009, implementación #86) sin nivel verificado a la fecha: la medición es #88. PENDIENTE #86, #88 Evidencia versionada: Implementacion/Agente1/evidencias/recuperacion-hu012-idempotencia-durable-2026-09-08.md; docs/adr/0009-el-agente-respalda-su-estado-en-drive-y-borra-sus-propios-respaldos.md. Paso en vivo: El paso de tolerancia a fallos muestra la parte de recuperabilidad ya verificada.</w:t>
            </w:r>
          </w:p>
        </w:tc>
      </w:tr>
      <w:tr>
        <w:tc>
          <w:tcPr>
            <w:tcW w:type="dxa" w:w="1728"/>
          </w:tcPr>
          <w:p>
            <w:r>
              <w:t>Fiabilidad</w:t>
            </w:r>
          </w:p>
        </w:tc>
        <w:tc>
          <w:tcPr>
            <w:tcW w:type="dxa" w:w="1728"/>
          </w:tcPr>
          <w:p>
            <w:r>
              <w:t>Robustez (25059)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Canal: La prosa externa es dato, nunca instrucción: un intento de inyección produce una intención válida o un rechazo y no llega al prompt del generador; un registro corrupto frena la lectura / Interpretación: La salida del modelo en el fallback es un contrato acotado: una salida manipulada no puede producir una intención inexistente; la que no cumple el contrato se descarta; una falla del intérprete no propaga excepción / Generación: El gate descarta la salida entera ante cualquier incumplimiento verificable: variable faltante, desconocida o renombrada, dígito, fecha, importe, correo o enlace escritos por el modelo, hecho copiado de la fuente, dato personal, eco de prompting, promesa prohibida, salida truncada o registro no rioplatense / Gates: Una política con regla inválida o desconocida se rechaza al cargar; el estado `NO_MECANIZABLE` no puede marcarse como conforme / Aprobación: Links alterados (token, tipo, decisión, id inexistente, correo fuera del padrón) se rechazan con códigos estables; un registro corrupto interrumpe la lectura en fail-closed / Integraciones: Un token inválido o con inyección en encabezado se rechaza sin tocar la red; respuestas inválidas o sobredimensionadas se rechazan; los errores HTTP se mapean sin filtrar token ni cuerpo; los adjuntos se hashean en memoria Evidencia versionada: tests/test_interpretacion.py (inyección sólo produce intención válida o rechazo; no llega al prompt del generador); tests/test_canal_form.py (registro corrupto frena la lectura); tests/test_interpretacion.py (salida manipulada sin intención inexistente; salida fuera de contrato descartada; falla del intérprete contenida); tests/test_plantillas_actividad.py; tests/test_posts.py; tests/test_posts_structured.py; tests/test_linea_descriptiva.py; tests/test_politica_redes.py; tests/test_decisiones_form.py (link alterado, rol que no corresponde, correo fuera del padrón, registro corrupto); tests/test_pagos_sheets.py; tests/test_google_sheets.py; tests/test_buzon_gmail.py. Paso en vivo: `uv run pytest -q tests/test_interpretacion.py -k "inyeccion"` corre el subset adversarial / `uv run pytest -q tests/test_interpretacion.py -k "manipulada or descarta or falla"` / `uv run pytest -q tests/test_plantillas_actividad.py` corre los casos adversariales del gate de plantillas / `uv run pytest -q tests/test_politica_redes.py -k "coherente or pendiente or construida"` / `uv run pytest -q tests/test_decisiones_form.py -k "alterado or corrupto"` / `uv run pytest -q tests/test_pagos_sheets.py -k "token"`.</w:t>
            </w:r>
          </w:p>
        </w:tc>
      </w:tr>
      <w:tr>
        <w:tc>
          <w:tcPr>
            <w:tcW w:type="dxa" w:w="1728"/>
          </w:tcPr>
          <w:p>
            <w:r>
              <w:t>Seguridad</w:t>
            </w:r>
          </w:p>
        </w:tc>
        <w:tc>
          <w:tcPr>
            <w:tcW w:type="dxa" w:w="1728"/>
          </w:tcPr>
          <w:p>
            <w:r>
              <w:t>Seguridad (factor completo)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Remite. El perfil de seguridad se declara en el Anexo 3 (issue #58); toda declaración de confidencialidad, integridad, autenticación y trazabilidad de accesos se hace allí</w:t>
            </w:r>
          </w:p>
        </w:tc>
      </w:tr>
      <w:tr>
        <w:tc>
          <w:tcPr>
            <w:tcW w:type="dxa" w:w="1728"/>
          </w:tcPr>
          <w:p>
            <w:r>
              <w:t>Mantenibilidad</w:t>
            </w:r>
          </w:p>
        </w:tc>
        <w:tc>
          <w:tcPr>
            <w:tcW w:type="dxa" w:w="1728"/>
          </w:tcPr>
          <w:p>
            <w:r>
              <w:t>Modularidad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Puertos y adapters en cada frontera (canal, fuente, destino, buzón, generador, registro, decisiones); el seam de interpretación es independiente del transporte Evidencia versionada: Documentos/Inventario/Inventario-Componentes-Sistema-Demostracion-v1.md; tests/ por adapter (test_canal_form.py y test_canal_planilla.py sobre el mismo puerto). Paso en vivo: Atender el mismo pedido por dos adapters distintos sin tocar el núcleo (paso de reemplazabilidad del estrato Integraciones).</w:t>
            </w:r>
          </w:p>
        </w:tc>
      </w:tr>
      <w:tr>
        <w:tc>
          <w:tcPr>
            <w:tcW w:type="dxa" w:w="1728"/>
          </w:tcPr>
          <w:p>
            <w:r>
              <w:t>Mantenibilidad</w:t>
            </w:r>
          </w:p>
        </w:tc>
        <w:tc>
          <w:tcPr>
            <w:tcW w:type="dxa" w:w="1728"/>
          </w:tcPr>
          <w:p>
            <w:r>
              <w:t>Reusabilidad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El circuito de doble aprobación se reusa en certificados, plantillas de actividad, recordatorios y línea descriptiva; el lector crudo de Sheets sirve a canal, decisiones, pagos y lista de cierre Evidencia versionada: tests/test_certificados_durables.py; tests/test_decisiones_form.py (mismos primitivos sobre dominios distintos). Paso en vivo: `uv run pytest -q tests/test_certificados_durables.py` muestra el circuito reusado sobre otro dominio.</w:t>
            </w:r>
          </w:p>
        </w:tc>
      </w:tr>
      <w:tr>
        <w:tc>
          <w:tcPr>
            <w:tcW w:type="dxa" w:w="1728"/>
          </w:tcPr>
          <w:p>
            <w:r>
              <w:t>Mantenibilidad</w:t>
            </w:r>
          </w:p>
        </w:tc>
        <w:tc>
          <w:tcPr>
            <w:tcW w:type="dxa" w:w="1728"/>
          </w:tcPr>
          <w:p>
            <w:r>
              <w:t>Analizabilidad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B. Docstrings de decisión por módulo y la tabla de decisiones del README permiten localizar cada regla; falta linter y análisis estático: esa parte queda prevista y requerida, la cubre #90. PENDIENTE #90 Evidencia versionada: Implementacion/Agente1/README.md; docstrings de src/agente1/. Paso en vivo: Abrir el docstring de `src/agente1/confirmaciones.py` muestra la decisión documentada en el módulo.</w:t>
            </w:r>
          </w:p>
        </w:tc>
      </w:tr>
      <w:tr>
        <w:tc>
          <w:tcPr>
            <w:tcW w:type="dxa" w:w="1728"/>
          </w:tcPr>
          <w:p>
            <w:r>
              <w:t>Mantenibilidad</w:t>
            </w:r>
          </w:p>
        </w:tc>
        <w:tc>
          <w:tcPr>
            <w:tcW w:type="dxa" w:w="1728"/>
          </w:tcPr>
          <w:p>
            <w:r>
              <w:t>Modificabilidad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Contratos, prompts y políticas versionados por archivo (`v1` a `v4` conviven); cambiar de versión no toca el pipeline Evidencia versionada: tests/test_packaging.py; estructura de src/agente1/contracts, prompts y politicas. Paso en vivo: `ls src/agente1/contracts` muestra `intenciones_v1`, `v2` y `v3` conviviendo; `uv run pytest -q tests/test_packaging.py` verifica el empaquetado.</w:t>
            </w:r>
          </w:p>
        </w:tc>
      </w:tr>
      <w:tr>
        <w:tc>
          <w:tcPr>
            <w:tcW w:type="dxa" w:w="1728"/>
          </w:tcPr>
          <w:p>
            <w:r>
              <w:t>Mantenibilidad</w:t>
            </w:r>
          </w:p>
        </w:tc>
        <w:tc>
          <w:tcPr>
            <w:tcW w:type="dxa" w:w="1728"/>
          </w:tcPr>
          <w:p>
            <w:r>
              <w:t>Capacidad de prueba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B. Suite versionada de 1650 pruebas, determinista y completa en menos de un minuto, con matrices reproducibles por HU y goldens; faltan CI y cobertura medida: brecha requerida, la cubre #90. PENDIENTE #90 Evidencia versionada: tests/; Implementacion/Agente1/evidencias/regresion-consolidada-2026-09-08.md. Paso en vivo: `uv run pytest -q` corre la suite completa en menos de un minuto.</w:t>
            </w:r>
          </w:p>
        </w:tc>
      </w:tr>
      <w:tr>
        <w:tc>
          <w:tcPr>
            <w:tcW w:type="dxa" w:w="1728"/>
          </w:tcPr>
          <w:p>
            <w:r>
              <w:t>Flexibilidad</w:t>
            </w:r>
          </w:p>
        </w:tc>
        <w:tc>
          <w:tcPr>
            <w:tcW w:type="dxa" w:w="1728"/>
          </w:tcPr>
          <w:p>
            <w:r>
              <w:t>Adaptabilidad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B. El paso de D2 a D3 es cambio de configuración (`AGENTE1_WORKSPACE_AMBIENTE`); sin ejecución live sobre D3 porque el host todavía no llegó (DEF-A1-001 queda parcial) Evidencia versionada: src/agente1/workspace_config.py; tests/test_workspace_config.py; notas/workspace-live-d2-2026-09-28.md. Paso en vivo: `AGENTE1_WORKSPACE_AMBIENTE=D3` con el resto de la configuración de prueba muestra la validación de la config de D3 en offline (declarado; sin recursos D3 reales).</w:t>
            </w:r>
          </w:p>
        </w:tc>
      </w:tr>
      <w:tr>
        <w:tc>
          <w:tcPr>
            <w:tcW w:type="dxa" w:w="1728"/>
          </w:tcPr>
          <w:p>
            <w:r>
              <w:t>Flexibilidad</w:t>
            </w:r>
          </w:p>
        </w:tc>
        <w:tc>
          <w:tcPr>
            <w:tcW w:type="dxa" w:w="1728"/>
          </w:tcPr>
          <w:p>
            <w:r>
              <w:t>Instalabilidad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B. Paquete con `pyproject.toml` y `uv.lock` que instala y corre en la laptop del autor vía `uv`; la instalación por un tercero (responsable de operación tras el traspaso) está prevista para diciembre-febrero Evidencia versionada: Implementacion/Agente1/pyproject.toml; Implementacion/Agente1/uv.lock; tests/test_packaging.py. Paso en vivo: `uv sync &amp;&amp; uv run python -m agente1 --help` en un entorno recién creado.</w:t>
            </w:r>
          </w:p>
        </w:tc>
      </w:tr>
      <w:tr>
        <w:tc>
          <w:tcPr>
            <w:tcW w:type="dxa" w:w="1728"/>
          </w:tcPr>
          <w:p>
            <w:r>
              <w:t>Flexibilidad</w:t>
            </w:r>
          </w:p>
        </w:tc>
        <w:tc>
          <w:tcPr>
            <w:tcW w:type="dxa" w:w="1728"/>
          </w:tcPr>
          <w:p>
            <w:r>
              <w:t>Reemplazabilidad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Generación: El generador es un puerto: Ollama local intercambiable (tres modelos medidos con el mismo protocolo el 23/09) y `FakeGenerator` para regresión determinista / Integraciones: Fuentes, destinos y buzón detrás de puertos: CSV por Sheets, Markdown por Docs, `.eml` por Gmail y proveedor de token intercambiable Evidencia versionada: Implementacion/Agente1/evidencias/medicion-hu011-v3-modelos-2026-09-23.md; tests/test_ollama.py; tests/test_procesar_gacetilla.py (la corrida acepta cualquier implementación del puerto); tests/test_canal_form.py y tests/test_canal_planilla.py (dos adapters del mismo puerto). Paso en vivo: Correr la misma generación con `--fake-output` y señalar las tres mediciones de modelo en la evidencia / Atender el mismo pedido por el adapter CSV (`atender_canal_planilla.py`) y por el adapter Form offline (`atender_canal_form.py`) sin tocar el núcleo.</w:t>
            </w:r>
          </w:p>
        </w:tc>
      </w:tr>
      <w:tr>
        <w:tc>
          <w:tcPr>
            <w:tcW w:type="dxa" w:w="1728"/>
          </w:tcPr>
          <w:p>
            <w:r>
              <w:t>Flexibilidad</w:t>
            </w:r>
          </w:p>
        </w:tc>
        <w:tc>
          <w:tcPr>
            <w:tcW w:type="dxa" w:w="1728"/>
          </w:tcPr>
          <w:p>
            <w:r>
              <w:t>Escalabilidad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C. Prevista y no implementada: el volumen informado por la SEU consume menos del 4 % de una jornada, así que escalar no es requerido en el horizonte del PPS Evidencia versionada: Implementacion/Agente1/evidencias/benchmark-capacidad-a1-2026-08-26.md.</w:t>
            </w:r>
          </w:p>
        </w:tc>
      </w:tr>
      <w:tr>
        <w:tc>
          <w:tcPr>
            <w:tcW w:type="dxa" w:w="1728"/>
          </w:tcPr>
          <w:p>
            <w:r>
              <w:t>Safety</w:t>
            </w:r>
          </w:p>
        </w:tc>
        <w:tc>
          <w:tcPr>
            <w:tcW w:type="dxa" w:w="1728"/>
          </w:tcPr>
          <w:p>
            <w:r>
              <w:t>Safety (factor completo)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No aplica. No hay riesgo físico ni ambiental: el daño posible (envío o certificado erróneo) se trata por controlabilidad e intervenibilidad y, en su componente de información, por el Anexo 3 (resolución de #59)</w:t>
            </w:r>
          </w:p>
        </w:tc>
      </w:tr>
      <w:tr>
        <w:tc>
          <w:tcPr>
            <w:tcW w:type="dxa" w:w="1728"/>
          </w:tcPr>
          <w:p>
            <w:r>
              <w:t>Calidad de datos (25012)</w:t>
            </w:r>
          </w:p>
        </w:tc>
        <w:tc>
          <w:tcPr>
            <w:tcW w:type="dxa" w:w="1728"/>
          </w:tcPr>
          <w:p>
            <w:r>
              <w:t>Completitud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Generación: Los campos obligatorios se validan antes de generar: una fila de actividad incompleta termina rechazada sin invocar el modelo; una fila incompleta de la lista de cierre bloquea el lote; un plan sin dato obligatorio se rechaza / Control de pagos: Un plan sin dato obligatorio se rechaza; un padrón o novedad con campos faltantes se rechaza entero; el comprobante sin asociación única se informa como pendiente, no como pago Evidencia versionada: tests/test_procesar_gacetilla.py (fila incompleta); tests/test_certificados_emision.py (lista incompleta bloquea); tests/test_pagos.py (plan sin dato obligatorio); tests/test_pagos.py; tests/test_novedades_pagos.py; tests/test_buzon_gmail.py. Paso en vivo: `uv run python scripts/matriz_hu010.py --salida &lt;dir&gt;` muestra los dos casos de datos incompletos rechazados antes del modelo / `uv run pytest -q tests/test_pagos.py -k "encabezado or desalineada or no_asociadas"`.</w:t>
            </w:r>
          </w:p>
        </w:tc>
      </w:tr>
      <w:tr>
        <w:tc>
          <w:tcPr>
            <w:tcW w:type="dxa" w:w="1728"/>
          </w:tcPr>
          <w:p>
            <w:r>
              <w:t>Calidad de datos (25012)</w:t>
            </w:r>
          </w:p>
        </w:tc>
        <w:tc>
          <w:tcPr>
            <w:tcW w:type="dxa" w:w="1728"/>
          </w:tcPr>
          <w:p>
            <w:r>
              <w:t>Consistencia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La misma interpretación posicional en CSV y Sheets produce estructuras de dominio idénticas: plan, padrón y novedades coinciden entre las dos fuentes Evidencia versionada: tests/test_pagos_sheets.py (mismo plan, mismo padrón y mismas novedades que el CSV). Paso en vivo: `uv run pytest -q tests/test_pagos_sheets.py -k "mismo"`.</w:t>
            </w:r>
          </w:p>
        </w:tc>
      </w:tr>
      <w:tr>
        <w:tc>
          <w:tcPr>
            <w:tcW w:type="dxa" w:w="1728"/>
          </w:tcPr>
          <w:p>
            <w:r>
              <w:t>Calidad de datos (25012)</w:t>
            </w:r>
          </w:p>
        </w:tc>
        <w:tc>
          <w:tcPr>
            <w:tcW w:type="dxa" w:w="1728"/>
          </w:tcPr>
          <w:p>
            <w:r>
              <w:t>Exactitud sintáctica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Canal: La hoja de respuestas se lee por posición de columna con el lector crudo; una respuesta sin `values`, un JSON roto o un token inválido se rechazan antes de interpretar / Control de pagos: Contratos versionados con encabezado exacto (`plan_pagos_actividad_v1`, `novedades_pago_v1`, `tipos_notificacion_v2`, `matriz_origenes_inscripcion_v1`); la lista de cierre usa seis columnas posicionales con `condicion` de catálogo cerrado / Aprobación: El padrón de roles se valida al leer: una entrada inválida se rechaza y un correo fuera del padrón recibe rol centinela, no un rol habilitado Evidencia versionada: tests/test_canal_form.py (lector rechaza respuesta sin values, JSON roto, token inválido); Implementacion/Agente1/src/agente1/contracts/; tests/test_novedades_pagos.py; tests/test_tipos_notificacion.py; tests/test_google_sheets.py (contrato tabular); tests/test_decisiones_form.py; tests/test_canal_form.py (padrón). Paso en vivo: `uv run pytest -q tests/test_canal_form.py -k "lector_rechaza"` / `uv run pytest -q tests/test_novedades_pagos.py -k "encabezado"` / `uv run pytest -q tests/test_decisiones_form.py -k "padron"`.</w:t>
            </w:r>
          </w:p>
        </w:tc>
      </w:tr>
      <w:tr>
        <w:tc>
          <w:tcPr>
            <w:tcW w:type="dxa" w:w="1728"/>
          </w:tcPr>
          <w:p>
            <w:r>
              <w:t>Calidad de datos (25012)</w:t>
            </w:r>
          </w:p>
        </w:tc>
        <w:tc>
          <w:tcPr>
            <w:tcW w:type="dxa" w:w="1728"/>
          </w:tcPr>
          <w:p>
            <w:r>
              <w:t>Exactitud semántica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C. Prevista y responsabilidad del dueño funcional: que el contenido de las fuentes sea verdadero corresponde a la SEU, no al agente (resolución de #59)</w:t>
            </w:r>
          </w:p>
        </w:tc>
      </w:tr>
      <w:tr>
        <w:tc>
          <w:tcPr>
            <w:tcW w:type="dxa" w:w="1728"/>
          </w:tcPr>
          <w:p>
            <w:r>
              <w:t>Calidad de datos (25012)</w:t>
            </w:r>
          </w:p>
        </w:tc>
        <w:tc>
          <w:tcPr>
            <w:tcW w:type="dxa" w:w="1728"/>
          </w:tcPr>
          <w:p>
            <w:r>
              <w:t>Credibilidad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C. Mismo criterio: la credibilidad de la fuente la determina el dueño funcional; el agente verifica forma y procedencia, no veracidad (resolución de #59)</w:t>
            </w:r>
          </w:p>
        </w:tc>
      </w:tr>
      <w:tr>
        <w:tc>
          <w:tcPr>
            <w:tcW w:type="dxa" w:w="1728"/>
          </w:tcPr>
          <w:p>
            <w:r>
              <w:t>Calidad de datos (25012)</w:t>
            </w:r>
          </w:p>
        </w:tc>
        <w:tc>
          <w:tcPr>
            <w:tcW w:type="dxa" w:w="1728"/>
          </w:tcPr>
          <w:p>
            <w:r>
              <w:t>Actualidad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C. Mismo criterio; además la planilla de actividades de D2 la carga hoy el autor como insumo provisional declarado, pendiente del reemplazo por la fuente definitiva (resolución de #59)</w:t>
            </w:r>
          </w:p>
        </w:tc>
      </w:tr>
      <w:tr>
        <w:tc>
          <w:tcPr>
            <w:tcW w:type="dxa" w:w="1728"/>
          </w:tcPr>
          <w:p>
            <w:r>
              <w:t>Calidad de datos (25012)</w:t>
            </w:r>
          </w:p>
        </w:tc>
        <w:tc>
          <w:tcPr>
            <w:tcW w:type="dxa" w:w="1728"/>
          </w:tcPr>
          <w:p>
            <w:r>
              <w:t>Trazabilidad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Estado declarado por el autor: A. Control de pagos: El plan de pago declara procedencia por dato (`OBSERVADO_DOCUMENTO`, `SUPUESTO_TECNICO`, `DESCONOCIDO`); la asociación comprobante-inscripto es por asunto y remitente único y queda registrada con hash / Persistencia y auditoría: Cada ejecución lleva correlation id; la lista de cierre y los objetos de decisión se anclan por `sha256`; el plan de pago declara procedencia por dato; los logs no guardan contenido ni correos en claro Evidencia versionada: Implementacion/Agente1/src/agente1/contracts/plan_pagos_actividad_v1.json; tests/test_pagos.py; tests/test_buzon_gmail.py; Implementacion/Agente1/evidencias/manifest-corte-2026-09-08.json; Implementacion/Agente1/evidencias/auditoria-seguridad-d2-d3.md; tests/test_confirmaciones_durables.py (auditoría sin destinatarios ni cuerpos). Paso en vivo: Abrir `data/plan_pagos_notebooklm_n2.csv` y mostrar la columna de procedencia por dato / Generar una pieza y mostrar la línea del log JSONL con sus hashes.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