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AI Operating Model Report</w:t>
      </w:r>
    </w:p>
    <w:p>
      <w:pPr>
        <w:spacing w:after="400"/>
      </w:pPr>
      <w:r>
        <w:rPr>
          <w:color w:val="555555"/>
          <w:sz w:val="30"/>
          <w:szCs w:val="30"/>
        </w:rPr>
        <w:t xml:space="preserve">Leadership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2937" w:val="clear"/>
            <w:tcMar>
              <w:top w:type="dxa" w:w="80"/>
              <w:left w:type="dxa" w:w="100"/>
              <w:bottom w:type="dxa" w:w="80"/>
              <w:right w:type="dxa" w:w="100"/>
            </w:tcMar>
          </w:tcPr>
          <w:p>
            <w:r>
              <w:rPr>
                <w:b/>
                <w:bCs/>
                <w:color w:val="FFFFFF"/>
                <w:sz w:val="18"/>
                <w:szCs w:val="18"/>
              </w:rPr>
              <w:t xml:space="preserve">Field</w:t>
            </w:r>
          </w:p>
        </w:tc>
        <w:tc>
          <w:tcPr>
            <w:tcW w:type="dxa" w:w="7160"/>
            <w:shd w:fill="1F2937" w:val="clear"/>
            <w:tcMar>
              <w:top w:type="dxa" w:w="80"/>
              <w:left w:type="dxa" w:w="100"/>
              <w:bottom w:type="dxa" w:w="80"/>
              <w:right w:type="dxa" w:w="100"/>
            </w:tcMar>
          </w:tcPr>
          <w:p>
            <w:r>
              <w:rPr>
                <w:b/>
                <w:bCs/>
                <w:color w:val="FFFFFF"/>
                <w:sz w:val="18"/>
                <w:szCs w:val="18"/>
              </w:rPr>
              <w:t xml:space="preserve">Detail</w:t>
            </w:r>
          </w:p>
        </w:tc>
      </w:tr>
      <w:tr>
        <w:tc>
          <w:tcPr>
            <w:tcW w:type="dxa" w:w="2200"/>
            <w:tcMar>
              <w:top w:type="dxa" w:w="80"/>
              <w:left w:type="dxa" w:w="100"/>
              <w:bottom w:type="dxa" w:w="80"/>
              <w:right w:type="dxa" w:w="100"/>
            </w:tcMar>
          </w:tcPr>
          <w:p>
            <w:r>
              <w:rPr>
                <w:b w:val="false"/>
                <w:bCs w:val="false"/>
                <w:color w:val="000000"/>
                <w:sz w:val="18"/>
                <w:szCs w:val="18"/>
              </w:rPr>
              <w:t xml:space="preserve">Brand</w:t>
            </w:r>
          </w:p>
        </w:tc>
        <w:tc>
          <w:tcPr>
            <w:tcW w:type="dxa" w:w="7160"/>
            <w:tcMar>
              <w:top w:type="dxa" w:w="80"/>
              <w:left w:type="dxa" w:w="100"/>
              <w:bottom w:type="dxa" w:w="80"/>
              <w:right w:type="dxa" w:w="100"/>
            </w:tcMar>
          </w:tcPr>
          <w:p>
            <w:r>
              <w:rPr>
                <w:b w:val="false"/>
                <w:bCs w:val="false"/>
                <w:color w:val="000000"/>
                <w:sz w:val="18"/>
                <w:szCs w:val="18"/>
              </w:rPr>
              <w:t xml:space="preserve">NexaGlow Beauty (fictional test brand)</w:t>
            </w:r>
          </w:p>
        </w:tc>
      </w:tr>
      <w:tr>
        <w:tc>
          <w:tcPr>
            <w:tcW w:type="dxa" w:w="2200"/>
            <w:shd w:fill="F5F5F0" w:val="clear"/>
            <w:tcMar>
              <w:top w:type="dxa" w:w="80"/>
              <w:left w:type="dxa" w:w="100"/>
              <w:bottom w:type="dxa" w:w="80"/>
              <w:right w:type="dxa" w:w="100"/>
            </w:tcMar>
          </w:tcPr>
          <w:p>
            <w:r>
              <w:rPr>
                <w:b w:val="false"/>
                <w:bCs w:val="false"/>
                <w:color w:val="000000"/>
                <w:sz w:val="18"/>
                <w:szCs w:val="18"/>
              </w:rPr>
              <w:t xml:space="preserve">Industry</w:t>
            </w:r>
          </w:p>
        </w:tc>
        <w:tc>
          <w:tcPr>
            <w:tcW w:type="dxa" w:w="7160"/>
            <w:shd w:fill="F5F5F0" w:val="clear"/>
            <w:tcMar>
              <w:top w:type="dxa" w:w="80"/>
              <w:left w:type="dxa" w:w="100"/>
              <w:bottom w:type="dxa" w:w="80"/>
              <w:right w:type="dxa" w:w="100"/>
            </w:tcMar>
          </w:tcPr>
          <w:p>
            <w:r>
              <w:rPr>
                <w:b w:val="false"/>
                <w:bCs w:val="false"/>
                <w:color w:val="000000"/>
                <w:sz w:val="18"/>
                <w:szCs w:val="18"/>
              </w:rPr>
              <w:t xml:space="preserve">Consumer Goods / Beauty &amp; Personal Care</w:t>
            </w:r>
          </w:p>
        </w:tc>
      </w:tr>
      <w:tr>
        <w:tc>
          <w:tcPr>
            <w:tcW w:type="dxa" w:w="2200"/>
            <w:tcMar>
              <w:top w:type="dxa" w:w="80"/>
              <w:left w:type="dxa" w:w="100"/>
              <w:bottom w:type="dxa" w:w="80"/>
              <w:right w:type="dxa" w:w="100"/>
            </w:tcMar>
          </w:tcPr>
          <w:p>
            <w:r>
              <w:rPr>
                <w:b w:val="false"/>
                <w:bCs w:val="false"/>
                <w:color w:val="000000"/>
                <w:sz w:val="18"/>
                <w:szCs w:val="18"/>
              </w:rPr>
              <w:t xml:space="preserve">Geography</w:t>
            </w:r>
          </w:p>
        </w:tc>
        <w:tc>
          <w:tcPr>
            <w:tcW w:type="dxa" w:w="7160"/>
            <w:tcMar>
              <w:top w:type="dxa" w:w="80"/>
              <w:left w:type="dxa" w:w="100"/>
              <w:bottom w:type="dxa" w:w="80"/>
              <w:right w:type="dxa" w:w="100"/>
            </w:tcMar>
          </w:tcPr>
          <w:p>
            <w:r>
              <w:rPr>
                <w:b w:val="false"/>
                <w:bCs w:val="false"/>
                <w:color w:val="000000"/>
                <w:sz w:val="18"/>
                <w:szCs w:val="18"/>
              </w:rPr>
              <w:t xml:space="preserve">UK, EU, North America, APAC, LATAM, Global eCommerce</w:t>
            </w:r>
          </w:p>
        </w:tc>
      </w:tr>
      <w:tr>
        <w:tc>
          <w:tcPr>
            <w:tcW w:type="dxa" w:w="2200"/>
            <w:shd w:fill="F5F5F0" w:val="clear"/>
            <w:tcMar>
              <w:top w:type="dxa" w:w="80"/>
              <w:left w:type="dxa" w:w="100"/>
              <w:bottom w:type="dxa" w:w="80"/>
              <w:right w:type="dxa" w:w="100"/>
            </w:tcMar>
          </w:tcPr>
          <w:p>
            <w:r>
              <w:rPr>
                <w:b w:val="false"/>
                <w:bCs w:val="false"/>
                <w:color w:val="000000"/>
                <w:sz w:val="18"/>
                <w:szCs w:val="18"/>
              </w:rPr>
              <w:t xml:space="preserve">Source</w:t>
            </w:r>
          </w:p>
        </w:tc>
        <w:tc>
          <w:tcPr>
            <w:tcW w:type="dxa" w:w="7160"/>
            <w:shd w:fill="F5F5F0" w:val="clear"/>
            <w:tcMar>
              <w:top w:type="dxa" w:w="80"/>
              <w:left w:type="dxa" w:w="100"/>
              <w:bottom w:type="dxa" w:w="80"/>
              <w:right w:type="dxa" w:w="100"/>
            </w:tcMar>
          </w:tcPr>
          <w:p>
            <w:r>
              <w:rPr>
                <w:b w:val="false"/>
                <w:bCs w:val="false"/>
                <w:color w:val="000000"/>
                <w:sz w:val="18"/>
                <w:szCs w:val="18"/>
              </w:rPr>
              <w:t xml:space="preserve">Operating Model Assessment (Synthetic Test Case)</w:t>
            </w:r>
          </w:p>
        </w:tc>
      </w:tr>
      <w:tr>
        <w:tc>
          <w:tcPr>
            <w:tcW w:type="dxa" w:w="2200"/>
            <w:tcMar>
              <w:top w:type="dxa" w:w="80"/>
              <w:left w:type="dxa" w:w="100"/>
              <w:bottom w:type="dxa" w:w="80"/>
              <w:right w:type="dxa" w:w="100"/>
            </w:tcMar>
          </w:tcPr>
          <w:p>
            <w:r>
              <w:rPr>
                <w:b w:val="false"/>
                <w:bCs w:val="false"/>
                <w:color w:val="000000"/>
                <w:sz w:val="18"/>
                <w:szCs w:val="18"/>
              </w:rPr>
              <w:t xml:space="preserve">Engagement ID</w:t>
            </w:r>
          </w:p>
        </w:tc>
        <w:tc>
          <w:tcPr>
            <w:tcW w:type="dxa" w:w="7160"/>
            <w:tcMar>
              <w:top w:type="dxa" w:w="80"/>
              <w:left w:type="dxa" w:w="100"/>
              <w:bottom w:type="dxa" w:w="80"/>
              <w:right w:type="dxa" w:w="100"/>
            </w:tcMar>
          </w:tcPr>
          <w:p>
            <w:r>
              <w:rPr>
                <w:b w:val="false"/>
                <w:bCs w:val="false"/>
                <w:color w:val="000000"/>
                <w:sz w:val="18"/>
                <w:szCs w:val="18"/>
              </w:rPr>
              <w:t xml:space="preserve">FSOMA-TC-002</w:t>
            </w:r>
          </w:p>
        </w:tc>
      </w:tr>
      <w:tr>
        <w:tc>
          <w:tcPr>
            <w:tcW w:type="dxa" w:w="2200"/>
            <w:shd w:fill="F5F5F0" w:val="clear"/>
            <w:tcMar>
              <w:top w:type="dxa" w:w="80"/>
              <w:left w:type="dxa" w:w="100"/>
              <w:bottom w:type="dxa" w:w="80"/>
              <w:right w:type="dxa" w:w="100"/>
            </w:tcMar>
          </w:tcPr>
          <w:p>
            <w:r>
              <w:rPr>
                <w:b w:val="false"/>
                <w:bCs w:val="false"/>
                <w:color w:val="000000"/>
                <w:sz w:val="18"/>
                <w:szCs w:val="18"/>
              </w:rPr>
              <w:t xml:space="preserve">Prepared</w:t>
            </w:r>
          </w:p>
        </w:tc>
        <w:tc>
          <w:tcPr>
            <w:tcW w:type="dxa" w:w="7160"/>
            <w:shd w:fill="F5F5F0" w:val="clear"/>
            <w:tcMar>
              <w:top w:type="dxa" w:w="80"/>
              <w:left w:type="dxa" w:w="100"/>
              <w:bottom w:type="dxa" w:w="80"/>
              <w:right w:type="dxa" w:w="100"/>
            </w:tcMar>
          </w:tcPr>
          <w:p>
            <w:r>
              <w:rPr>
                <w:b w:val="false"/>
                <w:bCs w:val="false"/>
                <w:color w:val="000000"/>
                <w:sz w:val="18"/>
                <w:szCs w:val="18"/>
              </w:rPr>
              <w:t xml:space="preserve">2 July 2026</w:t>
            </w:r>
          </w:p>
        </w:tc>
      </w:tr>
      <w:tr>
        <w:tc>
          <w:tcPr>
            <w:tcW w:type="dxa" w:w="2200"/>
            <w:tcMar>
              <w:top w:type="dxa" w:w="80"/>
              <w:left w:type="dxa" w:w="100"/>
              <w:bottom w:type="dxa" w:w="80"/>
              <w:right w:type="dxa" w:w="100"/>
            </w:tcMar>
          </w:tcPr>
          <w:p>
            <w:r>
              <w:rPr>
                <w:b w:val="false"/>
                <w:bCs w:val="false"/>
                <w:color w:val="000000"/>
                <w:sz w:val="18"/>
                <w:szCs w:val="18"/>
              </w:rPr>
              <w:t xml:space="preserve">Status</w:t>
            </w:r>
          </w:p>
        </w:tc>
        <w:tc>
          <w:tcPr>
            <w:tcW w:type="dxa" w:w="7160"/>
            <w:tcMar>
              <w:top w:type="dxa" w:w="80"/>
              <w:left w:type="dxa" w:w="100"/>
              <w:bottom w:type="dxa" w:w="80"/>
              <w:right w:type="dxa" w:w="100"/>
            </w:tcMar>
          </w:tcPr>
          <w:p>
            <w:r>
              <w:rPr>
                <w:b w:val="false"/>
                <w:bCs w:val="false"/>
                <w:color w:val="000000"/>
                <w:sz w:val="18"/>
                <w:szCs w:val="18"/>
              </w:rPr>
              <w:t xml:space="preserve">Internal skill test run, second iteration. Synthetic dataset. Not for client delivery.</w:t>
            </w:r>
          </w:p>
        </w:tc>
      </w:tr>
    </w:tbl>
    <w:p>
      <w:r>
        <w:br w:type="page"/>
      </w:r>
    </w:p>
    <w:p>
      <w:pPr>
        <w:pStyle w:val="Heading1"/>
        <w:spacing w:after="200"/>
      </w:pPr>
      <w:r>
        <w:t xml:space="preserve">Contents</w:t>
      </w:r>
    </w:p>
    <w:p>
      <w:pPr>
        <w:spacing w:after="100"/>
      </w:pPr>
      <w:r>
        <w:rPr>
          <w:sz w:val="22"/>
          <w:szCs w:val="22"/>
        </w:rPr>
        <w:t xml:space="preserve">1. Executive Readout</w:t>
      </w:r>
    </w:p>
    <w:p>
      <w:pPr>
        <w:spacing w:after="100"/>
      </w:pPr>
      <w:r>
        <w:rPr>
          <w:sz w:val="22"/>
          <w:szCs w:val="22"/>
        </w:rPr>
        <w:t xml:space="preserve">2. Current State: Priority Workflow Opportunities</w:t>
      </w:r>
    </w:p>
    <w:p>
      <w:pPr>
        <w:spacing w:after="100"/>
      </w:pPr>
      <w:r>
        <w:rPr>
          <w:sz w:val="22"/>
          <w:szCs w:val="22"/>
        </w:rPr>
        <w:t xml:space="preserve">3. Current State: Operating Accountability (RACI)</w:t>
      </w:r>
    </w:p>
    <w:p>
      <w:pPr>
        <w:spacing w:after="100"/>
      </w:pPr>
      <w:r>
        <w:rPr>
          <w:sz w:val="22"/>
          <w:szCs w:val="22"/>
        </w:rPr>
        <w:t xml:space="preserve">4. KPI Model and Evidence Gaps</w:t>
      </w:r>
    </w:p>
    <w:p>
      <w:pPr>
        <w:spacing w:after="100"/>
      </w:pPr>
      <w:r>
        <w:rPr>
          <w:sz w:val="22"/>
          <w:szCs w:val="22"/>
        </w:rPr>
        <w:t xml:space="preserve">5. Technology Role Validation</w:t>
      </w:r>
    </w:p>
    <w:p>
      <w:pPr>
        <w:spacing w:after="100"/>
      </w:pPr>
      <w:r>
        <w:rPr>
          <w:sz w:val="22"/>
          <w:szCs w:val="22"/>
        </w:rPr>
        <w:t xml:space="preserve">6. Future State: Roadmap</w:t>
      </w:r>
    </w:p>
    <w:p>
      <w:pPr>
        <w:spacing w:after="100"/>
      </w:pPr>
      <w:r>
        <w:rPr>
          <w:sz w:val="22"/>
          <w:szCs w:val="22"/>
        </w:rPr>
        <w:t xml:space="preserve">7. Future State: RACI</w:t>
      </w:r>
    </w:p>
    <w:p>
      <w:pPr>
        <w:spacing w:after="100"/>
      </w:pPr>
      <w:r>
        <w:rPr>
          <w:sz w:val="22"/>
          <w:szCs w:val="22"/>
        </w:rPr>
        <w:t xml:space="preserve">8. Technology Recommendations</w:t>
      </w:r>
    </w:p>
    <w:p>
      <w:pPr>
        <w:spacing w:after="100"/>
      </w:pPr>
      <w:r>
        <w:rPr>
          <w:sz w:val="22"/>
          <w:szCs w:val="22"/>
        </w:rPr>
        <w:t xml:space="preserve">9. KPI Model and Benchmarks</w:t>
      </w:r>
    </w:p>
    <w:p>
      <w:pPr>
        <w:spacing w:after="100"/>
      </w:pPr>
      <w:r>
        <w:rPr>
          <w:sz w:val="22"/>
          <w:szCs w:val="22"/>
        </w:rPr>
        <w:t xml:space="preserve">10. Impact vs Effort</w:t>
      </w:r>
    </w:p>
    <w:p>
      <w:pPr>
        <w:spacing w:after="100"/>
      </w:pPr>
      <w:r>
        <w:rPr>
          <w:sz w:val="22"/>
          <w:szCs w:val="22"/>
        </w:rPr>
        <w:t xml:space="preserve">11. Commercial Model</w:t>
      </w:r>
    </w:p>
    <w:p>
      <w:pPr>
        <w:spacing w:after="100"/>
      </w:pPr>
      <w:r>
        <w:rPr>
          <w:sz w:val="22"/>
          <w:szCs w:val="22"/>
        </w:rPr>
        <w:t xml:space="preserve">12. Risk Flags and Validation Needed</w:t>
      </w:r>
    </w:p>
    <w:p>
      <w:pPr>
        <w:spacing w:after="100"/>
      </w:pPr>
      <w:r>
        <w:rPr>
          <w:sz w:val="22"/>
          <w:szCs w:val="22"/>
        </w:rPr>
        <w:t xml:space="preserve">13. Data Foundation Readiness</w:t>
      </w:r>
    </w:p>
    <w:p>
      <w:pPr>
        <w:spacing w:after="100"/>
      </w:pPr>
      <w:r>
        <w:rPr>
          <w:sz w:val="22"/>
          <w:szCs w:val="22"/>
        </w:rPr>
        <w:t xml:space="preserve">14. Recommended Next Steps</w:t>
      </w:r>
    </w:p>
    <w:p>
      <w:r>
        <w:br w:type="page"/>
      </w:r>
    </w:p>
    <w:p>
      <w:pPr>
        <w:pStyle w:val="Heading1"/>
        <w:spacing w:after="160" w:before="360"/>
      </w:pPr>
      <w:r>
        <w:t xml:space="preserve">1. Executive Readout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6" w:sz="4"/>
              <w:left w:val="single" w:color="6B84A6" w:sz="4"/>
              <w:bottom w:val="single" w:color="6B84A6" w:sz="4"/>
              <w:right w:val="single" w:color="6B84A6" w:sz="4"/>
            </w:tcBorders>
            <w:shd w:fill="EEF2F7" w:val="clear"/>
            <w:tcMar>
              <w:top w:type="dxa" w:w="160"/>
              <w:left w:type="dxa" w:w="220"/>
              <w:bottom w:type="dxa" w:w="160"/>
              <w:right w:type="dxa" w:w="220"/>
            </w:tcMar>
          </w:tcPr>
          <w:p>
            <w:pPr>
              <w:pStyle w:val="ListParagraph"/>
              <w:numPr>
                <w:ilvl w:val="0"/>
                <w:numId w:val="1"/>
              </w:numPr>
              <w:spacing w:after="60"/>
            </w:pPr>
            <w:r>
              <w:t xml:space="preserve">NexaGlow's operating model spans 6 divisions, 14 agency/production partners, 12 priority workflows, £18.7m in annual production/content spend, and a further £4.2m in estimated untracked local-market spend.</w:t>
            </w:r>
          </w:p>
          <w:p>
            <w:pPr>
              <w:pStyle w:val="ListParagraph"/>
              <w:numPr>
                <w:ilvl w:val="0"/>
                <w:numId w:val="1"/>
              </w:numPr>
              <w:spacing w:after="60"/>
            </w:pPr>
            <w:r>
              <w:t xml:space="preserve">Content development, transcreation &amp; deployment (WF08) is the largest and highest-impact workflow: 96 campaigns a month, 21-day cycle time, 34% rework, the highest rework rate anywhere in the model.</w:t>
            </w:r>
          </w:p>
          <w:p>
            <w:pPr>
              <w:pStyle w:val="ListParagraph"/>
              <w:numPr>
                <w:ilvl w:val="0"/>
                <w:numId w:val="1"/>
              </w:numPr>
              <w:spacing w:after="60"/>
            </w:pPr>
            <w:r>
              <w:t xml:space="preserve">Data maturity is uneven, not absent. Production and localisation carry strong, validated baselines. Upstream planning and two commercial estimates remain low-confidence. That split should drive sequencing, and it does.</w:t>
            </w:r>
          </w:p>
          <w:p>
            <w:pPr>
              <w:pStyle w:val="ListParagraph"/>
              <w:numPr>
                <w:ilvl w:val="0"/>
                <w:numId w:val="1"/>
              </w:numPr>
              <w:spacing w:after="60"/>
            </w:pPr>
            <w:r>
              <w:t xml:space="preserve">Two of twelve workflows, Retailer.com content refresh (WF11) and Influencer/creator activation (WF12), have no current-state RACI documented anywhere in the source data. That is a genuine gap, not an oversight on our part.</w:t>
            </w:r>
          </w:p>
          <w:p>
            <w:pPr>
              <w:pStyle w:val="ListParagraph"/>
              <w:numPr>
                <w:ilvl w:val="0"/>
                <w:numId w:val="1"/>
              </w:numPr>
              <w:spacing w:after="60"/>
            </w:pPr>
            <w:r>
              <w:t xml:space="preserve">18 technology tools are in the current stack. 7 are fully validated. Four more (two AI video generation tools, one avatar/dubbing tool, one dedicated dubbing tool) show confirmed functional overlap, flagged in the source data itself, not inferred by us.</w:t>
            </w:r>
          </w:p>
          <w:p>
            <w:pPr>
              <w:pStyle w:val="ListParagraph"/>
              <w:numPr>
                <w:ilvl w:val="0"/>
                <w:numId w:val="1"/>
              </w:numPr>
              <w:spacing w:after="60"/>
            </w:pPr>
            <w:r>
              <w:t xml:space="preserve">The client's own risk register already names the exact trap we would otherwise fall into: blending AI-productivity savings with spend leakage and tooling rationalisation into one headline number. We have kept the three separate. See Section 11.</w:t>
            </w:r>
          </w:p>
        </w:tc>
      </w:tr>
    </w:tbl>
    <w:p>
      <w:pPr>
        <w:pStyle w:val="Heading2"/>
        <w:spacing w:after="120" w:before="240"/>
      </w:pPr>
      <w:r>
        <w:t xml:space="preserve">Leadership Decisions Needed</w:t>
      </w:r>
    </w:p>
    <w:p>
      <w:pPr>
        <w:pStyle w:val="ListParagraph"/>
        <w:numPr>
          <w:ilvl w:val="0"/>
          <w:numId w:val="1"/>
        </w:numPr>
        <w:spacing w:after="80"/>
      </w:pPr>
      <w:r>
        <w:t xml:space="preserve">Approve the Wave 1 pilot scope: JTBD/pre-brief intake, Creative briefing, Content development &amp; localisation, and Retailer.com content refresh, across UK and EU Beauty divisions first.</w:t>
      </w:r>
    </w:p>
    <w:p>
      <w:pPr>
        <w:pStyle w:val="ListParagraph"/>
        <w:numPr>
          <w:ilvl w:val="0"/>
          <w:numId w:val="1"/>
        </w:numPr>
        <w:spacing w:after="80"/>
      </w:pPr>
      <w:r>
        <w:t xml:space="preserve">Approve a minimum brief-completeness gate before any AI-assisted routing goes live. First-submission completeness is 58% today against an 85% target. Automating a broken intake just breaks it faster.</w:t>
      </w:r>
    </w:p>
    <w:p>
      <w:pPr>
        <w:pStyle w:val="ListParagraph"/>
        <w:numPr>
          <w:ilvl w:val="0"/>
          <w:numId w:val="1"/>
        </w:numPr>
        <w:spacing w:after="80"/>
      </w:pPr>
      <w:r>
        <w:t xml:space="preserve">Assign RACI owners for WF11 and WF12 before either enters a pilot wave. You cannot govern a workflow with no accountable owner on record.</w:t>
      </w:r>
    </w:p>
    <w:p>
      <w:pPr>
        <w:pStyle w:val="ListParagraph"/>
        <w:numPr>
          <w:ilvl w:val="0"/>
          <w:numId w:val="1"/>
        </w:numPr>
        <w:spacing w:after="80"/>
      </w:pPr>
      <w:r>
        <w:t xml:space="preserve">Approve the AI usage policy and review gates for claims-adjacent content before ClaimSafe Review integration work starts. This is a regulatory exposure question for a beauty brand, not a nice-to-have.</w:t>
      </w:r>
    </w:p>
    <w:p>
      <w:pPr>
        <w:pStyle w:val="ListParagraph"/>
        <w:numPr>
          <w:ilvl w:val="0"/>
          <w:numId w:val="1"/>
        </w:numPr>
        <w:spacing w:after="80"/>
      </w:pPr>
      <w:r>
        <w:t xml:space="preserve">Decide now whether AI-productivity savings, spend recovery, and tooling rationalisation get reported as three separate lines or one blended figure. Decide it before the number goes in front of the board, not after.</w:t>
      </w:r>
    </w:p>
    <w:p>
      <w:pPr>
        <w:pStyle w:val="ListParagraph"/>
        <w:numPr>
          <w:ilvl w:val="0"/>
          <w:numId w:val="1"/>
        </w:numPr>
        <w:spacing w:after="80"/>
      </w:pPr>
      <w:r>
        <w:t xml:space="preserve">Confirm there is no revenue growth case to present yet. If leadership wants one, name the KPI (conversion rate, basket size, or similar) that would evidence it before the next iteration of this report.</w:t>
      </w:r>
    </w:p>
    <w:p>
      <w:pPr>
        <w:pStyle w:val="ListParagraph"/>
        <w:numPr>
          <w:ilvl w:val="0"/>
          <w:numId w:val="1"/>
        </w:numPr>
        <w:spacing w:after="80"/>
      </w:pPr>
      <w:r>
        <w:t xml:space="preserve">Confirm the scope of KPI24's GBP 0.4m tooling rationalisation target. Our bottom-up check on the four flagged tools only accounts for GBP 0.12m of it.</w:t>
      </w:r>
    </w:p>
    <w:p>
      <w:pPr>
        <w:pStyle w:val="Heading1"/>
        <w:spacing w:after="160" w:before="360"/>
      </w:pPr>
      <w:r>
        <w:t xml:space="preserve">2. Current State: Priority Workflow Opportunities</w:t>
      </w:r>
    </w:p>
    <w:p>
      <w:pPr>
        <w:spacing w:after="160"/>
      </w:pPr>
      <w:r>
        <w:rPr>
          <w:b w:val="false"/>
          <w:bCs w:val="false"/>
          <w:i w:val="false"/>
          <w:iCs w:val="false"/>
          <w:sz w:val="21"/>
          <w:szCs w:val="21"/>
        </w:rPr>
        <w:t xml:space="preserve">12 workflows are tracked against real operating data: monthly volume, cycle time, and rework rate, not estimates. WF08 carries the highest volume and the highest rework rate in the model, and is the single biggest lever available. Full operating data (volume, cycle time, rework) is in Appendix A, this table carries only what drives the Wave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750"/>
        <w:gridCol w:w="750"/>
        <w:gridCol w:w="1500"/>
        <w:gridCol w:w="900"/>
      </w:tblGrid>
      <w:tr>
        <w:trPr>
          <w:tblHeader/>
        </w:trPr>
        <w:tc>
          <w:tcPr>
            <w:tcW w:type="dxa" w:w="900"/>
            <w:shd w:fill="1F2937" w:val="clear"/>
            <w:tcMar>
              <w:top w:type="dxa" w:w="80"/>
              <w:left w:type="dxa" w:w="100"/>
              <w:bottom w:type="dxa" w:w="80"/>
              <w:right w:type="dxa" w:w="100"/>
            </w:tcMar>
          </w:tcPr>
          <w:p>
            <w:r>
              <w:rPr>
                <w:b/>
                <w:bCs/>
                <w:color w:val="FFFFFF"/>
                <w:sz w:val="18"/>
                <w:szCs w:val="18"/>
              </w:rPr>
              <w:t xml:space="preserve">ID</w:t>
            </w:r>
          </w:p>
        </w:tc>
        <w:tc>
          <w:tcPr>
            <w:tcW w:type="dxa" w:w="4560"/>
            <w:shd w:fill="1F2937" w:val="clear"/>
            <w:tcMar>
              <w:top w:type="dxa" w:w="80"/>
              <w:left w:type="dxa" w:w="100"/>
              <w:bottom w:type="dxa" w:w="80"/>
              <w:right w:type="dxa" w:w="100"/>
            </w:tcMar>
          </w:tcPr>
          <w:p>
            <w:r>
              <w:rPr>
                <w:b/>
                <w:bCs/>
                <w:color w:val="FFFFFF"/>
                <w:sz w:val="18"/>
                <w:szCs w:val="18"/>
              </w:rPr>
              <w:t xml:space="preserve">Workflow</w:t>
            </w:r>
          </w:p>
        </w:tc>
        <w:tc>
          <w:tcPr>
            <w:tcW w:type="dxa" w:w="750"/>
            <w:shd w:fill="1F2937" w:val="clear"/>
            <w:tcMar>
              <w:top w:type="dxa" w:w="80"/>
              <w:left w:type="dxa" w:w="100"/>
              <w:bottom w:type="dxa" w:w="80"/>
              <w:right w:type="dxa" w:w="100"/>
            </w:tcMar>
          </w:tcPr>
          <w:p>
            <w:r>
              <w:rPr>
                <w:b/>
                <w:bCs/>
                <w:color w:val="FFFFFF"/>
                <w:sz w:val="18"/>
                <w:szCs w:val="18"/>
              </w:rPr>
              <w:t xml:space="preserve">Impact</w:t>
            </w:r>
          </w:p>
        </w:tc>
        <w:tc>
          <w:tcPr>
            <w:tcW w:type="dxa" w:w="750"/>
            <w:shd w:fill="1F2937" w:val="clear"/>
            <w:tcMar>
              <w:top w:type="dxa" w:w="80"/>
              <w:left w:type="dxa" w:w="100"/>
              <w:bottom w:type="dxa" w:w="80"/>
              <w:right w:type="dxa" w:w="100"/>
            </w:tcMar>
          </w:tcPr>
          <w:p>
            <w:r>
              <w:rPr>
                <w:b/>
                <w:bCs/>
                <w:color w:val="FFFFFF"/>
                <w:sz w:val="18"/>
                <w:szCs w:val="18"/>
              </w:rPr>
              <w:t xml:space="preserve">Effort</w:t>
            </w:r>
          </w:p>
        </w:tc>
        <w:tc>
          <w:tcPr>
            <w:tcW w:type="dxa" w:w="1500"/>
            <w:shd w:fill="1F2937" w:val="clear"/>
            <w:tcMar>
              <w:top w:type="dxa" w:w="80"/>
              <w:left w:type="dxa" w:w="100"/>
              <w:bottom w:type="dxa" w:w="80"/>
              <w:right w:type="dxa" w:w="100"/>
            </w:tcMar>
          </w:tcPr>
          <w:p>
            <w:r>
              <w:rPr>
                <w:b/>
                <w:bCs/>
                <w:color w:val="FFFFFF"/>
                <w:sz w:val="18"/>
                <w:szCs w:val="18"/>
              </w:rPr>
              <w:t xml:space="preserve">AI Readiness</w:t>
            </w:r>
          </w:p>
        </w:tc>
        <w:tc>
          <w:tcPr>
            <w:tcW w:type="dxa" w:w="900"/>
            <w:shd w:fill="1F2937" w:val="clear"/>
            <w:tcMar>
              <w:top w:type="dxa" w:w="80"/>
              <w:left w:type="dxa" w:w="100"/>
              <w:bottom w:type="dxa" w:w="80"/>
              <w:right w:type="dxa" w:w="100"/>
            </w:tcMar>
          </w:tcPr>
          <w:p>
            <w:r>
              <w:rPr>
                <w:b/>
                <w:bCs/>
                <w:color w:val="FFFFFF"/>
                <w:sz w:val="18"/>
                <w:szCs w:val="18"/>
              </w:rPr>
              <w:t xml:space="preserve">Wave</w:t>
            </w:r>
          </w:p>
        </w:tc>
      </w:tr>
      <w:tr>
        <w:tc>
          <w:tcPr>
            <w:tcW w:type="dxa" w:w="900"/>
            <w:tcMar>
              <w:top w:type="dxa" w:w="80"/>
              <w:left w:type="dxa" w:w="100"/>
              <w:bottom w:type="dxa" w:w="80"/>
              <w:right w:type="dxa" w:w="100"/>
            </w:tcMar>
          </w:tcPr>
          <w:p>
            <w:r>
              <w:rPr>
                <w:b w:val="false"/>
                <w:bCs w:val="false"/>
                <w:color w:val="000000"/>
                <w:sz w:val="18"/>
                <w:szCs w:val="18"/>
              </w:rPr>
              <w:t xml:space="preserve">WF01</w:t>
            </w:r>
          </w:p>
        </w:tc>
        <w:tc>
          <w:tcPr>
            <w:tcW w:type="dxa" w:w="4560"/>
            <w:tcMar>
              <w:top w:type="dxa" w:w="80"/>
              <w:left w:type="dxa" w:w="100"/>
              <w:bottom w:type="dxa" w:w="80"/>
              <w:right w:type="dxa" w:w="100"/>
            </w:tcMar>
          </w:tcPr>
          <w:p>
            <w:r>
              <w:rPr>
                <w:b w:val="false"/>
                <w:bCs w:val="false"/>
                <w:color w:val="000000"/>
                <w:sz w:val="18"/>
                <w:szCs w:val="18"/>
              </w:rPr>
              <w:t xml:space="preserve">Brand growth &amp; annual planning</w:t>
            </w:r>
          </w:p>
        </w:tc>
        <w:tc>
          <w:tcPr>
            <w:tcW w:type="dxa" w:w="750"/>
            <w:tcMar>
              <w:top w:type="dxa" w:w="80"/>
              <w:left w:type="dxa" w:w="100"/>
              <w:bottom w:type="dxa" w:w="80"/>
              <w:right w:type="dxa" w:w="100"/>
            </w:tcMar>
          </w:tcPr>
          <w:p>
            <w:r>
              <w:rPr>
                <w:b w:val="false"/>
                <w:bCs w:val="false"/>
                <w:color w:val="000000"/>
                <w:sz w:val="18"/>
                <w:szCs w:val="18"/>
              </w:rPr>
              <w:t xml:space="preserve">8</w:t>
            </w:r>
          </w:p>
        </w:tc>
        <w:tc>
          <w:tcPr>
            <w:tcW w:type="dxa" w:w="750"/>
            <w:tcMar>
              <w:top w:type="dxa" w:w="80"/>
              <w:left w:type="dxa" w:w="100"/>
              <w:bottom w:type="dxa" w:w="80"/>
              <w:right w:type="dxa" w:w="100"/>
            </w:tcMar>
          </w:tcPr>
          <w:p>
            <w:r>
              <w:rPr>
                <w:b w:val="false"/>
                <w:bCs w:val="false"/>
                <w:color w:val="000000"/>
                <w:sz w:val="18"/>
                <w:szCs w:val="18"/>
              </w:rPr>
              <w:t xml:space="preserve">7</w:t>
            </w:r>
          </w:p>
        </w:tc>
        <w:tc>
          <w:tcPr>
            <w:tcW w:type="dxa" w:w="1500"/>
            <w:tcMar>
              <w:top w:type="dxa" w:w="80"/>
              <w:left w:type="dxa" w:w="100"/>
              <w:bottom w:type="dxa" w:w="80"/>
              <w:right w:type="dxa" w:w="100"/>
            </w:tcMar>
          </w:tcPr>
          <w:p>
            <w:r>
              <w:rPr>
                <w:b w:val="false"/>
                <w:bCs w:val="false"/>
                <w:color w:val="000000"/>
                <w:sz w:val="18"/>
                <w:szCs w:val="18"/>
              </w:rPr>
              <w:t xml:space="preserve">Medium</w:t>
            </w:r>
          </w:p>
        </w:tc>
        <w:tc>
          <w:tcPr>
            <w:tcW w:type="dxa" w:w="900"/>
            <w:tcMar>
              <w:top w:type="dxa" w:w="80"/>
              <w:left w:type="dxa" w:w="100"/>
              <w:bottom w:type="dxa" w:w="80"/>
              <w:right w:type="dxa" w:w="100"/>
            </w:tcMar>
          </w:tcPr>
          <w:p>
            <w:r>
              <w:rPr>
                <w:b w:val="false"/>
                <w:bCs w:val="false"/>
                <w:color w:val="000000"/>
                <w:sz w:val="18"/>
                <w:szCs w:val="18"/>
              </w:rPr>
              <w:t xml:space="preserve">Wave 3</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WF02</w:t>
            </w:r>
          </w:p>
        </w:tc>
        <w:tc>
          <w:tcPr>
            <w:tcW w:type="dxa" w:w="4560"/>
            <w:shd w:fill="F5F5F0" w:val="clear"/>
            <w:tcMar>
              <w:top w:type="dxa" w:w="80"/>
              <w:left w:type="dxa" w:w="100"/>
              <w:bottom w:type="dxa" w:w="80"/>
              <w:right w:type="dxa" w:w="100"/>
            </w:tcMar>
          </w:tcPr>
          <w:p>
            <w:r>
              <w:rPr>
                <w:b w:val="false"/>
                <w:bCs w:val="false"/>
                <w:color w:val="000000"/>
                <w:sz w:val="18"/>
                <w:szCs w:val="18"/>
              </w:rPr>
              <w:t xml:space="preserve">Audience &amp; investment planning</w:t>
            </w:r>
          </w:p>
        </w:tc>
        <w:tc>
          <w:tcPr>
            <w:tcW w:type="dxa" w:w="750"/>
            <w:shd w:fill="F5F5F0" w:val="clear"/>
            <w:tcMar>
              <w:top w:type="dxa" w:w="80"/>
              <w:left w:type="dxa" w:w="100"/>
              <w:bottom w:type="dxa" w:w="80"/>
              <w:right w:type="dxa" w:w="100"/>
            </w:tcMar>
          </w:tcPr>
          <w:p>
            <w:r>
              <w:rPr>
                <w:b w:val="false"/>
                <w:bCs w:val="false"/>
                <w:color w:val="000000"/>
                <w:sz w:val="18"/>
                <w:szCs w:val="18"/>
              </w:rPr>
              <w:t xml:space="preserve">7</w:t>
            </w:r>
          </w:p>
        </w:tc>
        <w:tc>
          <w:tcPr>
            <w:tcW w:type="dxa" w:w="750"/>
            <w:shd w:fill="F5F5F0" w:val="clear"/>
            <w:tcMar>
              <w:top w:type="dxa" w:w="80"/>
              <w:left w:type="dxa" w:w="100"/>
              <w:bottom w:type="dxa" w:w="80"/>
              <w:right w:type="dxa" w:w="100"/>
            </w:tcMar>
          </w:tcPr>
          <w:p>
            <w:r>
              <w:rPr>
                <w:b w:val="false"/>
                <w:bCs w:val="false"/>
                <w:color w:val="000000"/>
                <w:sz w:val="18"/>
                <w:szCs w:val="18"/>
              </w:rPr>
              <w:t xml:space="preserve">6</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900"/>
            <w:shd w:fill="F5F5F0" w:val="clear"/>
            <w:tcMar>
              <w:top w:type="dxa" w:w="80"/>
              <w:left w:type="dxa" w:w="100"/>
              <w:bottom w:type="dxa" w:w="80"/>
              <w:right w:type="dxa" w:w="100"/>
            </w:tcMar>
          </w:tcPr>
          <w:p>
            <w:r>
              <w:rPr>
                <w:b w:val="false"/>
                <w:bCs w:val="false"/>
                <w:color w:val="000000"/>
                <w:sz w:val="18"/>
                <w:szCs w:val="18"/>
              </w:rPr>
              <w:t xml:space="preserve">Wave 3</w:t>
            </w:r>
          </w:p>
        </w:tc>
      </w:tr>
      <w:tr>
        <w:tc>
          <w:tcPr>
            <w:tcW w:type="dxa" w:w="900"/>
            <w:tcMar>
              <w:top w:type="dxa" w:w="80"/>
              <w:left w:type="dxa" w:w="100"/>
              <w:bottom w:type="dxa" w:w="80"/>
              <w:right w:type="dxa" w:w="100"/>
            </w:tcMar>
          </w:tcPr>
          <w:p>
            <w:r>
              <w:rPr>
                <w:b w:val="false"/>
                <w:bCs w:val="false"/>
                <w:color w:val="000000"/>
                <w:sz w:val="18"/>
                <w:szCs w:val="18"/>
              </w:rPr>
              <w:t xml:space="preserve">WF03</w:t>
            </w:r>
          </w:p>
        </w:tc>
        <w:tc>
          <w:tcPr>
            <w:tcW w:type="dxa" w:w="4560"/>
            <w:tcMar>
              <w:top w:type="dxa" w:w="80"/>
              <w:left w:type="dxa" w:w="100"/>
              <w:bottom w:type="dxa" w:w="80"/>
              <w:right w:type="dxa" w:w="100"/>
            </w:tcMar>
          </w:tcPr>
          <w:p>
            <w:r>
              <w:rPr>
                <w:b w:val="false"/>
                <w:bCs w:val="false"/>
                <w:color w:val="000000"/>
                <w:sz w:val="18"/>
                <w:szCs w:val="18"/>
              </w:rPr>
              <w:t xml:space="preserve">JTBD / pre-brief intake</w:t>
            </w:r>
          </w:p>
        </w:tc>
        <w:tc>
          <w:tcPr>
            <w:tcW w:type="dxa" w:w="750"/>
            <w:tcMar>
              <w:top w:type="dxa" w:w="80"/>
              <w:left w:type="dxa" w:w="100"/>
              <w:bottom w:type="dxa" w:w="80"/>
              <w:right w:type="dxa" w:w="100"/>
            </w:tcMar>
          </w:tcPr>
          <w:p>
            <w:r>
              <w:rPr>
                <w:b w:val="false"/>
                <w:bCs w:val="false"/>
                <w:color w:val="000000"/>
                <w:sz w:val="18"/>
                <w:szCs w:val="18"/>
              </w:rPr>
              <w:t xml:space="preserve">8</w:t>
            </w:r>
          </w:p>
        </w:tc>
        <w:tc>
          <w:tcPr>
            <w:tcW w:type="dxa" w:w="750"/>
            <w:tcMar>
              <w:top w:type="dxa" w:w="80"/>
              <w:left w:type="dxa" w:w="100"/>
              <w:bottom w:type="dxa" w:w="80"/>
              <w:right w:type="dxa" w:w="100"/>
            </w:tcMar>
          </w:tcPr>
          <w:p>
            <w:r>
              <w:rPr>
                <w:b w:val="false"/>
                <w:bCs w:val="false"/>
                <w:color w:val="000000"/>
                <w:sz w:val="18"/>
                <w:szCs w:val="18"/>
              </w:rPr>
              <w:t xml:space="preserve">3</w:t>
            </w:r>
          </w:p>
        </w:tc>
        <w:tc>
          <w:tcPr>
            <w:tcW w:type="dxa" w:w="1500"/>
            <w:tcMar>
              <w:top w:type="dxa" w:w="80"/>
              <w:left w:type="dxa" w:w="100"/>
              <w:bottom w:type="dxa" w:w="80"/>
              <w:right w:type="dxa" w:w="100"/>
            </w:tcMar>
          </w:tcPr>
          <w:p>
            <w:r>
              <w:rPr>
                <w:b w:val="false"/>
                <w:bCs w:val="false"/>
                <w:color w:val="000000"/>
                <w:sz w:val="18"/>
                <w:szCs w:val="18"/>
              </w:rPr>
              <w:t xml:space="preserve">High</w:t>
            </w:r>
          </w:p>
        </w:tc>
        <w:tc>
          <w:tcPr>
            <w:tcW w:type="dxa" w:w="900"/>
            <w:tcMar>
              <w:top w:type="dxa" w:w="80"/>
              <w:left w:type="dxa" w:w="100"/>
              <w:bottom w:type="dxa" w:w="80"/>
              <w:right w:type="dxa" w:w="100"/>
            </w:tcMar>
          </w:tcPr>
          <w:p>
            <w:r>
              <w:rPr>
                <w:b w:val="false"/>
                <w:bCs w:val="false"/>
                <w:color w:val="000000"/>
                <w:sz w:val="18"/>
                <w:szCs w:val="18"/>
              </w:rPr>
              <w:t xml:space="preserve">Wave 1</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WF04</w:t>
            </w:r>
          </w:p>
        </w:tc>
        <w:tc>
          <w:tcPr>
            <w:tcW w:type="dxa" w:w="4560"/>
            <w:shd w:fill="F5F5F0" w:val="clear"/>
            <w:tcMar>
              <w:top w:type="dxa" w:w="80"/>
              <w:left w:type="dxa" w:w="100"/>
              <w:bottom w:type="dxa" w:w="80"/>
              <w:right w:type="dxa" w:w="100"/>
            </w:tcMar>
          </w:tcPr>
          <w:p>
            <w:r>
              <w:rPr>
                <w:b w:val="false"/>
                <w:bCs w:val="false"/>
                <w:color w:val="000000"/>
                <w:sz w:val="18"/>
                <w:szCs w:val="18"/>
              </w:rPr>
              <w:t xml:space="preserve">Creative briefing</w:t>
            </w:r>
          </w:p>
        </w:tc>
        <w:tc>
          <w:tcPr>
            <w:tcW w:type="dxa" w:w="750"/>
            <w:shd w:fill="F5F5F0" w:val="clear"/>
            <w:tcMar>
              <w:top w:type="dxa" w:w="80"/>
              <w:left w:type="dxa" w:w="100"/>
              <w:bottom w:type="dxa" w:w="80"/>
              <w:right w:type="dxa" w:w="100"/>
            </w:tcMar>
          </w:tcPr>
          <w:p>
            <w:r>
              <w:rPr>
                <w:b w:val="false"/>
                <w:bCs w:val="false"/>
                <w:color w:val="000000"/>
                <w:sz w:val="18"/>
                <w:szCs w:val="18"/>
              </w:rPr>
              <w:t xml:space="preserve">8</w:t>
            </w:r>
          </w:p>
        </w:tc>
        <w:tc>
          <w:tcPr>
            <w:tcW w:type="dxa" w:w="750"/>
            <w:shd w:fill="F5F5F0" w:val="clear"/>
            <w:tcMar>
              <w:top w:type="dxa" w:w="80"/>
              <w:left w:type="dxa" w:w="100"/>
              <w:bottom w:type="dxa" w:w="80"/>
              <w:right w:type="dxa" w:w="100"/>
            </w:tcMar>
          </w:tcPr>
          <w:p>
            <w:r>
              <w:rPr>
                <w:b w:val="false"/>
                <w:bCs w:val="false"/>
                <w:color w:val="000000"/>
                <w:sz w:val="18"/>
                <w:szCs w:val="18"/>
              </w:rPr>
              <w:t xml:space="preserve">3</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900"/>
            <w:shd w:fill="F5F5F0" w:val="clear"/>
            <w:tcMar>
              <w:top w:type="dxa" w:w="80"/>
              <w:left w:type="dxa" w:w="100"/>
              <w:bottom w:type="dxa" w:w="80"/>
              <w:right w:type="dxa" w:w="100"/>
            </w:tcMar>
          </w:tcPr>
          <w:p>
            <w:r>
              <w:rPr>
                <w:b w:val="false"/>
                <w:bCs w:val="false"/>
                <w:color w:val="000000"/>
                <w:sz w:val="18"/>
                <w:szCs w:val="18"/>
              </w:rPr>
              <w:t xml:space="preserve">Wave 1</w:t>
            </w:r>
          </w:p>
        </w:tc>
      </w:tr>
      <w:tr>
        <w:tc>
          <w:tcPr>
            <w:tcW w:type="dxa" w:w="900"/>
            <w:tcMar>
              <w:top w:type="dxa" w:w="80"/>
              <w:left w:type="dxa" w:w="100"/>
              <w:bottom w:type="dxa" w:w="80"/>
              <w:right w:type="dxa" w:w="100"/>
            </w:tcMar>
          </w:tcPr>
          <w:p>
            <w:r>
              <w:rPr>
                <w:b w:val="false"/>
                <w:bCs w:val="false"/>
                <w:color w:val="000000"/>
                <w:sz w:val="18"/>
                <w:szCs w:val="18"/>
              </w:rPr>
              <w:t xml:space="preserve">WF05</w:t>
            </w:r>
          </w:p>
        </w:tc>
        <w:tc>
          <w:tcPr>
            <w:tcW w:type="dxa" w:w="4560"/>
            <w:tcMar>
              <w:top w:type="dxa" w:w="80"/>
              <w:left w:type="dxa" w:w="100"/>
              <w:bottom w:type="dxa" w:w="80"/>
              <w:right w:type="dxa" w:w="100"/>
            </w:tcMar>
          </w:tcPr>
          <w:p>
            <w:r>
              <w:rPr>
                <w:b w:val="false"/>
                <w:bCs w:val="false"/>
                <w:color w:val="000000"/>
                <w:sz w:val="18"/>
                <w:szCs w:val="18"/>
              </w:rPr>
              <w:t xml:space="preserve">Creative concepting / approval</w:t>
            </w:r>
          </w:p>
        </w:tc>
        <w:tc>
          <w:tcPr>
            <w:tcW w:type="dxa" w:w="750"/>
            <w:tcMar>
              <w:top w:type="dxa" w:w="80"/>
              <w:left w:type="dxa" w:w="100"/>
              <w:bottom w:type="dxa" w:w="80"/>
              <w:right w:type="dxa" w:w="100"/>
            </w:tcMar>
          </w:tcPr>
          <w:p>
            <w:r>
              <w:rPr>
                <w:b w:val="false"/>
                <w:bCs w:val="false"/>
                <w:color w:val="000000"/>
                <w:sz w:val="18"/>
                <w:szCs w:val="18"/>
              </w:rPr>
              <w:t xml:space="preserve">8</w:t>
            </w:r>
          </w:p>
        </w:tc>
        <w:tc>
          <w:tcPr>
            <w:tcW w:type="dxa" w:w="750"/>
            <w:tcMar>
              <w:top w:type="dxa" w:w="80"/>
              <w:left w:type="dxa" w:w="100"/>
              <w:bottom w:type="dxa" w:w="80"/>
              <w:right w:type="dxa" w:w="100"/>
            </w:tcMar>
          </w:tcPr>
          <w:p>
            <w:r>
              <w:rPr>
                <w:b w:val="false"/>
                <w:bCs w:val="false"/>
                <w:color w:val="000000"/>
                <w:sz w:val="18"/>
                <w:szCs w:val="18"/>
              </w:rPr>
              <w:t xml:space="preserve">6</w:t>
            </w:r>
          </w:p>
        </w:tc>
        <w:tc>
          <w:tcPr>
            <w:tcW w:type="dxa" w:w="1500"/>
            <w:tcMar>
              <w:top w:type="dxa" w:w="80"/>
              <w:left w:type="dxa" w:w="100"/>
              <w:bottom w:type="dxa" w:w="80"/>
              <w:right w:type="dxa" w:w="100"/>
            </w:tcMar>
          </w:tcPr>
          <w:p>
            <w:r>
              <w:rPr>
                <w:b w:val="false"/>
                <w:bCs w:val="false"/>
                <w:color w:val="000000"/>
                <w:sz w:val="18"/>
                <w:szCs w:val="18"/>
              </w:rPr>
              <w:t xml:space="preserve">Medium</w:t>
            </w:r>
          </w:p>
        </w:tc>
        <w:tc>
          <w:tcPr>
            <w:tcW w:type="dxa" w:w="900"/>
            <w:tcMar>
              <w:top w:type="dxa" w:w="80"/>
              <w:left w:type="dxa" w:w="100"/>
              <w:bottom w:type="dxa" w:w="80"/>
              <w:right w:type="dxa" w:w="100"/>
            </w:tcMar>
          </w:tcPr>
          <w:p>
            <w:r>
              <w:rPr>
                <w:b w:val="false"/>
                <w:bCs w:val="false"/>
                <w:color w:val="000000"/>
                <w:sz w:val="18"/>
                <w:szCs w:val="18"/>
              </w:rPr>
              <w:t xml:space="preserve">Wave 3</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WF06</w:t>
            </w:r>
          </w:p>
        </w:tc>
        <w:tc>
          <w:tcPr>
            <w:tcW w:type="dxa" w:w="4560"/>
            <w:shd w:fill="F5F5F0" w:val="clear"/>
            <w:tcMar>
              <w:top w:type="dxa" w:w="80"/>
              <w:left w:type="dxa" w:w="100"/>
              <w:bottom w:type="dxa" w:w="80"/>
              <w:right w:type="dxa" w:w="100"/>
            </w:tcMar>
          </w:tcPr>
          <w:p>
            <w:r>
              <w:rPr>
                <w:b w:val="false"/>
                <w:bCs w:val="false"/>
                <w:color w:val="000000"/>
                <w:sz w:val="18"/>
                <w:szCs w:val="18"/>
              </w:rPr>
              <w:t xml:space="preserve">Comms framework / touchpoint</w:t>
            </w:r>
          </w:p>
        </w:tc>
        <w:tc>
          <w:tcPr>
            <w:tcW w:type="dxa" w:w="750"/>
            <w:shd w:fill="F5F5F0" w:val="clear"/>
            <w:tcMar>
              <w:top w:type="dxa" w:w="80"/>
              <w:left w:type="dxa" w:w="100"/>
              <w:bottom w:type="dxa" w:w="80"/>
              <w:right w:type="dxa" w:w="100"/>
            </w:tcMar>
          </w:tcPr>
          <w:p>
            <w:r>
              <w:rPr>
                <w:b w:val="false"/>
                <w:bCs w:val="false"/>
                <w:color w:val="000000"/>
                <w:sz w:val="18"/>
                <w:szCs w:val="18"/>
              </w:rPr>
              <w:t xml:space="preserve">7</w:t>
            </w:r>
          </w:p>
        </w:tc>
        <w:tc>
          <w:tcPr>
            <w:tcW w:type="dxa" w:w="750"/>
            <w:shd w:fill="F5F5F0" w:val="clear"/>
            <w:tcMar>
              <w:top w:type="dxa" w:w="80"/>
              <w:left w:type="dxa" w:w="100"/>
              <w:bottom w:type="dxa" w:w="80"/>
              <w:right w:type="dxa" w:w="100"/>
            </w:tcMar>
          </w:tcPr>
          <w:p>
            <w:r>
              <w:rPr>
                <w:b w:val="false"/>
                <w:bCs w:val="false"/>
                <w:color w:val="000000"/>
                <w:sz w:val="18"/>
                <w:szCs w:val="18"/>
              </w:rPr>
              <w:t xml:space="preserve">4</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900"/>
            <w:shd w:fill="F5F5F0" w:val="clear"/>
            <w:tcMar>
              <w:top w:type="dxa" w:w="80"/>
              <w:left w:type="dxa" w:w="100"/>
              <w:bottom w:type="dxa" w:w="80"/>
              <w:right w:type="dxa" w:w="100"/>
            </w:tcMar>
          </w:tcPr>
          <w:p>
            <w:r>
              <w:rPr>
                <w:b w:val="false"/>
                <w:bCs w:val="false"/>
                <w:color w:val="000000"/>
                <w:sz w:val="18"/>
                <w:szCs w:val="18"/>
              </w:rPr>
              <w:t xml:space="preserve">Wave 2</w:t>
            </w:r>
          </w:p>
        </w:tc>
      </w:tr>
      <w:tr>
        <w:tc>
          <w:tcPr>
            <w:tcW w:type="dxa" w:w="900"/>
            <w:tcMar>
              <w:top w:type="dxa" w:w="80"/>
              <w:left w:type="dxa" w:w="100"/>
              <w:bottom w:type="dxa" w:w="80"/>
              <w:right w:type="dxa" w:w="100"/>
            </w:tcMar>
          </w:tcPr>
          <w:p>
            <w:r>
              <w:rPr>
                <w:b w:val="false"/>
                <w:bCs w:val="false"/>
                <w:color w:val="000000"/>
                <w:sz w:val="18"/>
                <w:szCs w:val="18"/>
              </w:rPr>
              <w:t xml:space="preserve">WF07</w:t>
            </w:r>
          </w:p>
        </w:tc>
        <w:tc>
          <w:tcPr>
            <w:tcW w:type="dxa" w:w="4560"/>
            <w:tcMar>
              <w:top w:type="dxa" w:w="80"/>
              <w:left w:type="dxa" w:w="100"/>
              <w:bottom w:type="dxa" w:w="80"/>
              <w:right w:type="dxa" w:w="100"/>
            </w:tcMar>
          </w:tcPr>
          <w:p>
            <w:r>
              <w:rPr>
                <w:b w:val="false"/>
                <w:bCs w:val="false"/>
                <w:color w:val="000000"/>
                <w:sz w:val="18"/>
                <w:szCs w:val="18"/>
              </w:rPr>
              <w:t xml:space="preserve">Media plan definition</w:t>
            </w:r>
          </w:p>
        </w:tc>
        <w:tc>
          <w:tcPr>
            <w:tcW w:type="dxa" w:w="750"/>
            <w:tcMar>
              <w:top w:type="dxa" w:w="80"/>
              <w:left w:type="dxa" w:w="100"/>
              <w:bottom w:type="dxa" w:w="80"/>
              <w:right w:type="dxa" w:w="100"/>
            </w:tcMar>
          </w:tcPr>
          <w:p>
            <w:r>
              <w:rPr>
                <w:b w:val="false"/>
                <w:bCs w:val="false"/>
                <w:color w:val="000000"/>
                <w:sz w:val="18"/>
                <w:szCs w:val="18"/>
              </w:rPr>
              <w:t xml:space="preserve">7</w:t>
            </w:r>
          </w:p>
        </w:tc>
        <w:tc>
          <w:tcPr>
            <w:tcW w:type="dxa" w:w="750"/>
            <w:tcMar>
              <w:top w:type="dxa" w:w="80"/>
              <w:left w:type="dxa" w:w="100"/>
              <w:bottom w:type="dxa" w:w="80"/>
              <w:right w:type="dxa" w:w="100"/>
            </w:tcMar>
          </w:tcPr>
          <w:p>
            <w:r>
              <w:rPr>
                <w:b w:val="false"/>
                <w:bCs w:val="false"/>
                <w:color w:val="000000"/>
                <w:sz w:val="18"/>
                <w:szCs w:val="18"/>
              </w:rPr>
              <w:t xml:space="preserve">4</w:t>
            </w:r>
          </w:p>
        </w:tc>
        <w:tc>
          <w:tcPr>
            <w:tcW w:type="dxa" w:w="1500"/>
            <w:tcMar>
              <w:top w:type="dxa" w:w="80"/>
              <w:left w:type="dxa" w:w="100"/>
              <w:bottom w:type="dxa" w:w="80"/>
              <w:right w:type="dxa" w:w="100"/>
            </w:tcMar>
          </w:tcPr>
          <w:p>
            <w:r>
              <w:rPr>
                <w:b w:val="false"/>
                <w:bCs w:val="false"/>
                <w:color w:val="000000"/>
                <w:sz w:val="18"/>
                <w:szCs w:val="18"/>
              </w:rPr>
              <w:t xml:space="preserve">High</w:t>
            </w:r>
          </w:p>
        </w:tc>
        <w:tc>
          <w:tcPr>
            <w:tcW w:type="dxa" w:w="900"/>
            <w:tcMar>
              <w:top w:type="dxa" w:w="80"/>
              <w:left w:type="dxa" w:w="100"/>
              <w:bottom w:type="dxa" w:w="80"/>
              <w:right w:type="dxa" w:w="100"/>
            </w:tcMar>
          </w:tcPr>
          <w:p>
            <w:r>
              <w:rPr>
                <w:b w:val="false"/>
                <w:bCs w:val="false"/>
                <w:color w:val="000000"/>
                <w:sz w:val="18"/>
                <w:szCs w:val="18"/>
              </w:rPr>
              <w:t xml:space="preserve">Wave 2</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WF08</w:t>
            </w:r>
          </w:p>
        </w:tc>
        <w:tc>
          <w:tcPr>
            <w:tcW w:type="dxa" w:w="4560"/>
            <w:shd w:fill="F5F5F0" w:val="clear"/>
            <w:tcMar>
              <w:top w:type="dxa" w:w="80"/>
              <w:left w:type="dxa" w:w="100"/>
              <w:bottom w:type="dxa" w:w="80"/>
              <w:right w:type="dxa" w:w="100"/>
            </w:tcMar>
          </w:tcPr>
          <w:p>
            <w:r>
              <w:rPr>
                <w:b w:val="false"/>
                <w:bCs w:val="false"/>
                <w:color w:val="000000"/>
                <w:sz w:val="18"/>
                <w:szCs w:val="18"/>
              </w:rPr>
              <w:t xml:space="preserve">Content dev, transcreation, deploy</w:t>
            </w:r>
          </w:p>
        </w:tc>
        <w:tc>
          <w:tcPr>
            <w:tcW w:type="dxa" w:w="750"/>
            <w:shd w:fill="F5F5F0" w:val="clear"/>
            <w:tcMar>
              <w:top w:type="dxa" w:w="80"/>
              <w:left w:type="dxa" w:w="100"/>
              <w:bottom w:type="dxa" w:w="80"/>
              <w:right w:type="dxa" w:w="100"/>
            </w:tcMar>
          </w:tcPr>
          <w:p>
            <w:r>
              <w:rPr>
                <w:b w:val="false"/>
                <w:bCs w:val="false"/>
                <w:color w:val="000000"/>
                <w:sz w:val="18"/>
                <w:szCs w:val="18"/>
              </w:rPr>
              <w:t xml:space="preserve">10</w:t>
            </w:r>
          </w:p>
        </w:tc>
        <w:tc>
          <w:tcPr>
            <w:tcW w:type="dxa" w:w="750"/>
            <w:shd w:fill="F5F5F0" w:val="clear"/>
            <w:tcMar>
              <w:top w:type="dxa" w:w="80"/>
              <w:left w:type="dxa" w:w="100"/>
              <w:bottom w:type="dxa" w:w="80"/>
              <w:right w:type="dxa" w:w="100"/>
            </w:tcMar>
          </w:tcPr>
          <w:p>
            <w:r>
              <w:rPr>
                <w:b w:val="false"/>
                <w:bCs w:val="false"/>
                <w:color w:val="000000"/>
                <w:sz w:val="18"/>
                <w:szCs w:val="18"/>
              </w:rPr>
              <w:t xml:space="preserve">5</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900"/>
            <w:shd w:fill="F5F5F0" w:val="clear"/>
            <w:tcMar>
              <w:top w:type="dxa" w:w="80"/>
              <w:left w:type="dxa" w:w="100"/>
              <w:bottom w:type="dxa" w:w="80"/>
              <w:right w:type="dxa" w:w="100"/>
            </w:tcMar>
          </w:tcPr>
          <w:p>
            <w:r>
              <w:rPr>
                <w:b w:val="false"/>
                <w:bCs w:val="false"/>
                <w:color w:val="000000"/>
                <w:sz w:val="18"/>
                <w:szCs w:val="18"/>
              </w:rPr>
              <w:t xml:space="preserve">Wave 1</w:t>
            </w:r>
          </w:p>
        </w:tc>
      </w:tr>
      <w:tr>
        <w:tc>
          <w:tcPr>
            <w:tcW w:type="dxa" w:w="900"/>
            <w:tcMar>
              <w:top w:type="dxa" w:w="80"/>
              <w:left w:type="dxa" w:w="100"/>
              <w:bottom w:type="dxa" w:w="80"/>
              <w:right w:type="dxa" w:w="100"/>
            </w:tcMar>
          </w:tcPr>
          <w:p>
            <w:r>
              <w:rPr>
                <w:b w:val="false"/>
                <w:bCs w:val="false"/>
                <w:color w:val="000000"/>
                <w:sz w:val="18"/>
                <w:szCs w:val="18"/>
              </w:rPr>
              <w:t xml:space="preserve">WF09</w:t>
            </w:r>
          </w:p>
        </w:tc>
        <w:tc>
          <w:tcPr>
            <w:tcW w:type="dxa" w:w="4560"/>
            <w:tcMar>
              <w:top w:type="dxa" w:w="80"/>
              <w:left w:type="dxa" w:w="100"/>
              <w:bottom w:type="dxa" w:w="80"/>
              <w:right w:type="dxa" w:w="100"/>
            </w:tcMar>
          </w:tcPr>
          <w:p>
            <w:r>
              <w:rPr>
                <w:b w:val="false"/>
                <w:bCs w:val="false"/>
                <w:color w:val="000000"/>
                <w:sz w:val="18"/>
                <w:szCs w:val="18"/>
              </w:rPr>
              <w:t xml:space="preserve">Measurement &amp; optimisation reporting</w:t>
            </w:r>
          </w:p>
        </w:tc>
        <w:tc>
          <w:tcPr>
            <w:tcW w:type="dxa" w:w="750"/>
            <w:tcMar>
              <w:top w:type="dxa" w:w="80"/>
              <w:left w:type="dxa" w:w="100"/>
              <w:bottom w:type="dxa" w:w="80"/>
              <w:right w:type="dxa" w:w="100"/>
            </w:tcMar>
          </w:tcPr>
          <w:p>
            <w:r>
              <w:rPr>
                <w:b w:val="false"/>
                <w:bCs w:val="false"/>
                <w:color w:val="000000"/>
                <w:sz w:val="18"/>
                <w:szCs w:val="18"/>
              </w:rPr>
              <w:t xml:space="preserve">8</w:t>
            </w:r>
          </w:p>
        </w:tc>
        <w:tc>
          <w:tcPr>
            <w:tcW w:type="dxa" w:w="750"/>
            <w:tcMar>
              <w:top w:type="dxa" w:w="80"/>
              <w:left w:type="dxa" w:w="100"/>
              <w:bottom w:type="dxa" w:w="80"/>
              <w:right w:type="dxa" w:w="100"/>
            </w:tcMar>
          </w:tcPr>
          <w:p>
            <w:r>
              <w:rPr>
                <w:b w:val="false"/>
                <w:bCs w:val="false"/>
                <w:color w:val="000000"/>
                <w:sz w:val="18"/>
                <w:szCs w:val="18"/>
              </w:rPr>
              <w:t xml:space="preserve">4</w:t>
            </w:r>
          </w:p>
        </w:tc>
        <w:tc>
          <w:tcPr>
            <w:tcW w:type="dxa" w:w="1500"/>
            <w:tcMar>
              <w:top w:type="dxa" w:w="80"/>
              <w:left w:type="dxa" w:w="100"/>
              <w:bottom w:type="dxa" w:w="80"/>
              <w:right w:type="dxa" w:w="100"/>
            </w:tcMar>
          </w:tcPr>
          <w:p>
            <w:r>
              <w:rPr>
                <w:b w:val="false"/>
                <w:bCs w:val="false"/>
                <w:color w:val="000000"/>
                <w:sz w:val="18"/>
                <w:szCs w:val="18"/>
              </w:rPr>
              <w:t xml:space="preserve">High</w:t>
            </w:r>
          </w:p>
        </w:tc>
        <w:tc>
          <w:tcPr>
            <w:tcW w:type="dxa" w:w="900"/>
            <w:tcMar>
              <w:top w:type="dxa" w:w="80"/>
              <w:left w:type="dxa" w:w="100"/>
              <w:bottom w:type="dxa" w:w="80"/>
              <w:right w:type="dxa" w:w="100"/>
            </w:tcMar>
          </w:tcPr>
          <w:p>
            <w:r>
              <w:rPr>
                <w:b w:val="false"/>
                <w:bCs w:val="false"/>
                <w:color w:val="000000"/>
                <w:sz w:val="18"/>
                <w:szCs w:val="18"/>
              </w:rPr>
              <w:t xml:space="preserve">Wave 2</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WF10</w:t>
            </w:r>
          </w:p>
        </w:tc>
        <w:tc>
          <w:tcPr>
            <w:tcW w:type="dxa" w:w="4560"/>
            <w:shd w:fill="F5F5F0" w:val="clear"/>
            <w:tcMar>
              <w:top w:type="dxa" w:w="80"/>
              <w:left w:type="dxa" w:w="100"/>
              <w:bottom w:type="dxa" w:w="80"/>
              <w:right w:type="dxa" w:w="100"/>
            </w:tcMar>
          </w:tcPr>
          <w:p>
            <w:r>
              <w:rPr>
                <w:b w:val="false"/>
                <w:bCs w:val="false"/>
                <w:color w:val="000000"/>
                <w:sz w:val="18"/>
                <w:szCs w:val="18"/>
              </w:rPr>
              <w:t xml:space="preserve">Workflow orchestration</w:t>
            </w:r>
          </w:p>
        </w:tc>
        <w:tc>
          <w:tcPr>
            <w:tcW w:type="dxa" w:w="750"/>
            <w:shd w:fill="F5F5F0" w:val="clear"/>
            <w:tcMar>
              <w:top w:type="dxa" w:w="80"/>
              <w:left w:type="dxa" w:w="100"/>
              <w:bottom w:type="dxa" w:w="80"/>
              <w:right w:type="dxa" w:w="100"/>
            </w:tcMar>
          </w:tcPr>
          <w:p>
            <w:r>
              <w:rPr>
                <w:b w:val="false"/>
                <w:bCs w:val="false"/>
                <w:color w:val="000000"/>
                <w:sz w:val="18"/>
                <w:szCs w:val="18"/>
              </w:rPr>
              <w:t xml:space="preserve">9</w:t>
            </w:r>
          </w:p>
        </w:tc>
        <w:tc>
          <w:tcPr>
            <w:tcW w:type="dxa" w:w="750"/>
            <w:shd w:fill="F5F5F0" w:val="clear"/>
            <w:tcMar>
              <w:top w:type="dxa" w:w="80"/>
              <w:left w:type="dxa" w:w="100"/>
              <w:bottom w:type="dxa" w:w="80"/>
              <w:right w:type="dxa" w:w="100"/>
            </w:tcMar>
          </w:tcPr>
          <w:p>
            <w:r>
              <w:rPr>
                <w:b w:val="false"/>
                <w:bCs w:val="false"/>
                <w:color w:val="000000"/>
                <w:sz w:val="18"/>
                <w:szCs w:val="18"/>
              </w:rPr>
              <w:t xml:space="preserve">6</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900"/>
            <w:shd w:fill="F5F5F0" w:val="clear"/>
            <w:tcMar>
              <w:top w:type="dxa" w:w="80"/>
              <w:left w:type="dxa" w:w="100"/>
              <w:bottom w:type="dxa" w:w="80"/>
              <w:right w:type="dxa" w:w="100"/>
            </w:tcMar>
          </w:tcPr>
          <w:p>
            <w:r>
              <w:rPr>
                <w:b w:val="false"/>
                <w:bCs w:val="false"/>
                <w:color w:val="000000"/>
                <w:sz w:val="18"/>
                <w:szCs w:val="18"/>
              </w:rPr>
              <w:t xml:space="preserve">Wave 2</w:t>
            </w:r>
          </w:p>
        </w:tc>
      </w:tr>
      <w:tr>
        <w:tc>
          <w:tcPr>
            <w:tcW w:type="dxa" w:w="900"/>
            <w:tcMar>
              <w:top w:type="dxa" w:w="80"/>
              <w:left w:type="dxa" w:w="100"/>
              <w:bottom w:type="dxa" w:w="80"/>
              <w:right w:type="dxa" w:w="100"/>
            </w:tcMar>
          </w:tcPr>
          <w:p>
            <w:r>
              <w:rPr>
                <w:b w:val="false"/>
                <w:bCs w:val="false"/>
                <w:color w:val="000000"/>
                <w:sz w:val="18"/>
                <w:szCs w:val="18"/>
              </w:rPr>
              <w:t xml:space="preserve">WF11</w:t>
            </w:r>
          </w:p>
        </w:tc>
        <w:tc>
          <w:tcPr>
            <w:tcW w:type="dxa" w:w="4560"/>
            <w:tcMar>
              <w:top w:type="dxa" w:w="80"/>
              <w:left w:type="dxa" w:w="100"/>
              <w:bottom w:type="dxa" w:w="80"/>
              <w:right w:type="dxa" w:w="100"/>
            </w:tcMar>
          </w:tcPr>
          <w:p>
            <w:r>
              <w:rPr>
                <w:b w:val="false"/>
                <w:bCs w:val="false"/>
                <w:color w:val="000000"/>
                <w:sz w:val="18"/>
                <w:szCs w:val="18"/>
              </w:rPr>
              <w:t xml:space="preserve">Retailer.com content refresh</w:t>
            </w:r>
          </w:p>
        </w:tc>
        <w:tc>
          <w:tcPr>
            <w:tcW w:type="dxa" w:w="750"/>
            <w:tcMar>
              <w:top w:type="dxa" w:w="80"/>
              <w:left w:type="dxa" w:w="100"/>
              <w:bottom w:type="dxa" w:w="80"/>
              <w:right w:type="dxa" w:w="100"/>
            </w:tcMar>
          </w:tcPr>
          <w:p>
            <w:r>
              <w:rPr>
                <w:b w:val="false"/>
                <w:bCs w:val="false"/>
                <w:color w:val="000000"/>
                <w:sz w:val="18"/>
                <w:szCs w:val="18"/>
              </w:rPr>
              <w:t xml:space="preserve">8</w:t>
            </w:r>
          </w:p>
        </w:tc>
        <w:tc>
          <w:tcPr>
            <w:tcW w:type="dxa" w:w="750"/>
            <w:tcMar>
              <w:top w:type="dxa" w:w="80"/>
              <w:left w:type="dxa" w:w="100"/>
              <w:bottom w:type="dxa" w:w="80"/>
              <w:right w:type="dxa" w:w="100"/>
            </w:tcMar>
          </w:tcPr>
          <w:p>
            <w:r>
              <w:rPr>
                <w:b w:val="false"/>
                <w:bCs w:val="false"/>
                <w:color w:val="000000"/>
                <w:sz w:val="18"/>
                <w:szCs w:val="18"/>
              </w:rPr>
              <w:t xml:space="preserve">4</w:t>
            </w:r>
          </w:p>
        </w:tc>
        <w:tc>
          <w:tcPr>
            <w:tcW w:type="dxa" w:w="1500"/>
            <w:tcMar>
              <w:top w:type="dxa" w:w="80"/>
              <w:left w:type="dxa" w:w="100"/>
              <w:bottom w:type="dxa" w:w="80"/>
              <w:right w:type="dxa" w:w="100"/>
            </w:tcMar>
          </w:tcPr>
          <w:p>
            <w:r>
              <w:rPr>
                <w:b w:val="false"/>
                <w:bCs w:val="false"/>
                <w:color w:val="000000"/>
                <w:sz w:val="18"/>
                <w:szCs w:val="18"/>
              </w:rPr>
              <w:t xml:space="preserve">High</w:t>
            </w:r>
          </w:p>
        </w:tc>
        <w:tc>
          <w:tcPr>
            <w:tcW w:type="dxa" w:w="900"/>
            <w:tcMar>
              <w:top w:type="dxa" w:w="80"/>
              <w:left w:type="dxa" w:w="100"/>
              <w:bottom w:type="dxa" w:w="80"/>
              <w:right w:type="dxa" w:w="100"/>
            </w:tcMar>
          </w:tcPr>
          <w:p>
            <w:r>
              <w:rPr>
                <w:b w:val="false"/>
                <w:bCs w:val="false"/>
                <w:color w:val="000000"/>
                <w:sz w:val="18"/>
                <w:szCs w:val="18"/>
              </w:rPr>
              <w:t xml:space="preserve">Wave 1</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WF12</w:t>
            </w:r>
          </w:p>
        </w:tc>
        <w:tc>
          <w:tcPr>
            <w:tcW w:type="dxa" w:w="4560"/>
            <w:shd w:fill="F5F5F0" w:val="clear"/>
            <w:tcMar>
              <w:top w:type="dxa" w:w="80"/>
              <w:left w:type="dxa" w:w="100"/>
              <w:bottom w:type="dxa" w:w="80"/>
              <w:right w:type="dxa" w:w="100"/>
            </w:tcMar>
          </w:tcPr>
          <w:p>
            <w:r>
              <w:rPr>
                <w:b w:val="false"/>
                <w:bCs w:val="false"/>
                <w:color w:val="000000"/>
                <w:sz w:val="18"/>
                <w:szCs w:val="18"/>
              </w:rPr>
              <w:t xml:space="preserve">Influencer / creator activation</w:t>
            </w:r>
          </w:p>
        </w:tc>
        <w:tc>
          <w:tcPr>
            <w:tcW w:type="dxa" w:w="750"/>
            <w:shd w:fill="F5F5F0" w:val="clear"/>
            <w:tcMar>
              <w:top w:type="dxa" w:w="80"/>
              <w:left w:type="dxa" w:w="100"/>
              <w:bottom w:type="dxa" w:w="80"/>
              <w:right w:type="dxa" w:w="100"/>
            </w:tcMar>
          </w:tcPr>
          <w:p>
            <w:r>
              <w:rPr>
                <w:b w:val="false"/>
                <w:bCs w:val="false"/>
                <w:color w:val="000000"/>
                <w:sz w:val="18"/>
                <w:szCs w:val="18"/>
              </w:rPr>
              <w:t xml:space="preserve">7</w:t>
            </w:r>
          </w:p>
        </w:tc>
        <w:tc>
          <w:tcPr>
            <w:tcW w:type="dxa" w:w="750"/>
            <w:shd w:fill="F5F5F0" w:val="clear"/>
            <w:tcMar>
              <w:top w:type="dxa" w:w="80"/>
              <w:left w:type="dxa" w:w="100"/>
              <w:bottom w:type="dxa" w:w="80"/>
              <w:right w:type="dxa" w:w="100"/>
            </w:tcMar>
          </w:tcPr>
          <w:p>
            <w:r>
              <w:rPr>
                <w:b w:val="false"/>
                <w:bCs w:val="false"/>
                <w:color w:val="000000"/>
                <w:sz w:val="18"/>
                <w:szCs w:val="18"/>
              </w:rPr>
              <w:t xml:space="preserve">5</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900"/>
            <w:shd w:fill="F5F5F0" w:val="clear"/>
            <w:tcMar>
              <w:top w:type="dxa" w:w="80"/>
              <w:left w:type="dxa" w:w="100"/>
              <w:bottom w:type="dxa" w:w="80"/>
              <w:right w:type="dxa" w:w="100"/>
            </w:tcMar>
          </w:tcPr>
          <w:p>
            <w:r>
              <w:rPr>
                <w:b w:val="false"/>
                <w:bCs w:val="false"/>
                <w:color w:val="000000"/>
                <w:sz w:val="18"/>
                <w:szCs w:val="18"/>
              </w:rPr>
              <w:t xml:space="preserve">Wave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8B2E" w:sz="4"/>
              <w:left w:val="single" w:color="B98B2E" w:sz="4"/>
              <w:bottom w:val="single" w:color="B98B2E" w:sz="4"/>
              <w:right w:val="single" w:color="B98B2E" w:sz="4"/>
            </w:tcBorders>
            <w:shd w:fill="FCF3DF" w:val="clear"/>
            <w:tcMar>
              <w:top w:type="dxa" w:w="160"/>
              <w:left w:type="dxa" w:w="220"/>
              <w:bottom w:type="dxa" w:w="160"/>
              <w:right w:type="dxa" w:w="220"/>
            </w:tcMar>
          </w:tcPr>
          <w:p>
            <w:pPr>
              <w:spacing w:after="100"/>
            </w:pPr>
            <w:r>
              <w:rPr>
                <w:b/>
                <w:bCs/>
                <w:sz w:val="20"/>
                <w:szCs w:val="20"/>
              </w:rPr>
              <w:t xml:space="preserve">Our recommendation</w:t>
            </w:r>
          </w:p>
          <w:p>
            <w:pPr>
              <w:pStyle w:val="ListParagraph"/>
              <w:numPr>
                <w:ilvl w:val="0"/>
                <w:numId w:val="1"/>
              </w:numPr>
              <w:spacing w:after="60"/>
            </w:pPr>
            <w:r>
              <w:t xml:space="preserve">Sequence pilots by AI readiness and evidence confidence, not by which workflow is most visible to leadership.</w:t>
            </w:r>
          </w:p>
          <w:p>
            <w:pPr>
              <w:pStyle w:val="ListParagraph"/>
              <w:numPr>
                <w:ilvl w:val="0"/>
                <w:numId w:val="1"/>
              </w:numPr>
              <w:spacing w:after="60"/>
            </w:pPr>
            <w:r>
              <w:t xml:space="preserve">Wave 1 already isolates the four workflows that are both High readiness and High evidence confidence: WF03, WF04, WF08, WF11. That is the correct starting four.</w:t>
            </w:r>
          </w:p>
          <w:p>
            <w:pPr>
              <w:pStyle w:val="ListParagraph"/>
              <w:numPr>
                <w:ilvl w:val="0"/>
                <w:numId w:val="1"/>
              </w:numPr>
              <w:spacing w:after="60"/>
            </w:pPr>
            <w:r>
              <w:t xml:space="preserve">Do not let WF01 or WF02 (annual and audience planning) get pulled into Wave 1 because they carry more executive attention. Impact is high on both, but effort is high and evidence confidence is only Medium. The data does not support starting there.</w:t>
            </w:r>
          </w:p>
        </w:tc>
      </w:tr>
    </w:tbl>
    <w:p>
      <w:pPr>
        <w:pStyle w:val="Heading1"/>
        <w:spacing w:after="160" w:before="360"/>
      </w:pPr>
      <w:r>
        <w:t xml:space="preserve">3. Current State: Operating Accountability (RACI)</w:t>
      </w:r>
    </w:p>
    <w:p>
      <w:pPr>
        <w:spacing w:after="160"/>
      </w:pPr>
      <w:r>
        <w:rPr>
          <w:b w:val="false"/>
          <w:bCs w:val="false"/>
          <w:i w:val="false"/>
          <w:iCs w:val="false"/>
          <w:sz w:val="21"/>
          <w:szCs w:val="21"/>
        </w:rPr>
        <w:t xml:space="preserve">The RACI extract covers 10 of the 12 tracked workflows. Client-side leadership holds Accountable status on 9 of 10; Marketing Operations holds it on Workflow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w:trPr>
          <w:tblHeader/>
        </w:trPr>
        <w:tc>
          <w:tcPr>
            <w:tcW w:type="dxa" w:w="2900"/>
            <w:shd w:fill="1F2937" w:val="clear"/>
            <w:tcMar>
              <w:top w:type="dxa" w:w="80"/>
              <w:left w:type="dxa" w:w="100"/>
              <w:bottom w:type="dxa" w:w="80"/>
              <w:right w:type="dxa" w:w="100"/>
            </w:tcMar>
          </w:tcPr>
          <w:p>
            <w:r>
              <w:rPr>
                <w:b/>
                <w:bCs/>
                <w:color w:val="FFFFFF"/>
                <w:sz w:val="18"/>
                <w:szCs w:val="18"/>
              </w:rPr>
              <w:t xml:space="preserve">Activity</w:t>
            </w:r>
          </w:p>
        </w:tc>
        <w:tc>
          <w:tcPr>
            <w:tcW w:type="dxa" w:w="3560"/>
            <w:shd w:fill="1F2937" w:val="clear"/>
            <w:tcMar>
              <w:top w:type="dxa" w:w="80"/>
              <w:left w:type="dxa" w:w="100"/>
              <w:bottom w:type="dxa" w:w="80"/>
              <w:right w:type="dxa" w:w="100"/>
            </w:tcMar>
          </w:tcPr>
          <w:p>
            <w:r>
              <w:rPr>
                <w:b/>
                <w:bCs/>
                <w:color w:val="FFFFFF"/>
                <w:sz w:val="18"/>
                <w:szCs w:val="18"/>
              </w:rPr>
              <w:t xml:space="preserve">Responsible</w:t>
            </w:r>
          </w:p>
        </w:tc>
        <w:tc>
          <w:tcPr>
            <w:tcW w:type="dxa" w:w="2900"/>
            <w:shd w:fill="1F2937" w:val="clear"/>
            <w:tcMar>
              <w:top w:type="dxa" w:w="80"/>
              <w:left w:type="dxa" w:w="100"/>
              <w:bottom w:type="dxa" w:w="80"/>
              <w:right w:type="dxa" w:w="100"/>
            </w:tcMar>
          </w:tcPr>
          <w:p>
            <w:r>
              <w:rPr>
                <w:b/>
                <w:bCs/>
                <w:color w:val="FFFFFF"/>
                <w:sz w:val="18"/>
                <w:szCs w:val="18"/>
              </w:rPr>
              <w:t xml:space="preserve">Accountable</w:t>
            </w:r>
          </w:p>
        </w:tc>
      </w:tr>
      <w:tr>
        <w:tc>
          <w:tcPr>
            <w:tcW w:type="dxa" w:w="2900"/>
            <w:tcMar>
              <w:top w:type="dxa" w:w="80"/>
              <w:left w:type="dxa" w:w="100"/>
              <w:bottom w:type="dxa" w:w="80"/>
              <w:right w:type="dxa" w:w="100"/>
            </w:tcMar>
          </w:tcPr>
          <w:p>
            <w:r>
              <w:rPr>
                <w:b w:val="false"/>
                <w:bCs w:val="false"/>
                <w:color w:val="000000"/>
                <w:sz w:val="18"/>
                <w:szCs w:val="18"/>
              </w:rPr>
              <w:t xml:space="preserve">Brand growth &amp; annual planning</w:t>
            </w:r>
          </w:p>
        </w:tc>
        <w:tc>
          <w:tcPr>
            <w:tcW w:type="dxa" w:w="3560"/>
            <w:tcMar>
              <w:top w:type="dxa" w:w="80"/>
              <w:left w:type="dxa" w:w="100"/>
              <w:bottom w:type="dxa" w:w="80"/>
              <w:right w:type="dxa" w:w="100"/>
            </w:tcMar>
          </w:tcPr>
          <w:p>
            <w:r>
              <w:rPr>
                <w:b w:val="false"/>
                <w:bCs w:val="false"/>
                <w:color w:val="000000"/>
                <w:sz w:val="18"/>
                <w:szCs w:val="18"/>
              </w:rPr>
              <w:t xml:space="preserve">Global Brand Strategy, Commercial Planning</w:t>
            </w:r>
          </w:p>
        </w:tc>
        <w:tc>
          <w:tcPr>
            <w:tcW w:type="dxa" w:w="2900"/>
            <w:tcMar>
              <w:top w:type="dxa" w:w="80"/>
              <w:left w:type="dxa" w:w="100"/>
              <w:bottom w:type="dxa" w:w="80"/>
              <w:right w:type="dxa" w:w="100"/>
            </w:tcMar>
          </w:tcPr>
          <w:p>
            <w:r>
              <w:rPr>
                <w:b w:val="false"/>
                <w:bCs w:val="false"/>
                <w:color w:val="000000"/>
                <w:sz w:val="18"/>
                <w:szCs w:val="18"/>
              </w:rPr>
              <w:t xml:space="preserve">Chief Brand Officer</w:t>
            </w:r>
          </w:p>
        </w:tc>
      </w:tr>
      <w:tr>
        <w:tc>
          <w:tcPr>
            <w:tcW w:type="dxa" w:w="2900"/>
            <w:shd w:fill="F5F5F0" w:val="clear"/>
            <w:tcMar>
              <w:top w:type="dxa" w:w="80"/>
              <w:left w:type="dxa" w:w="100"/>
              <w:bottom w:type="dxa" w:w="80"/>
              <w:right w:type="dxa" w:w="100"/>
            </w:tcMar>
          </w:tcPr>
          <w:p>
            <w:r>
              <w:rPr>
                <w:b w:val="false"/>
                <w:bCs w:val="false"/>
                <w:color w:val="000000"/>
                <w:sz w:val="18"/>
                <w:szCs w:val="18"/>
              </w:rPr>
              <w:t xml:space="preserve">Audience &amp; investment planning</w:t>
            </w:r>
          </w:p>
        </w:tc>
        <w:tc>
          <w:tcPr>
            <w:tcW w:type="dxa" w:w="3560"/>
            <w:shd w:fill="F5F5F0" w:val="clear"/>
            <w:tcMar>
              <w:top w:type="dxa" w:w="80"/>
              <w:left w:type="dxa" w:w="100"/>
              <w:bottom w:type="dxa" w:w="80"/>
              <w:right w:type="dxa" w:w="100"/>
            </w:tcMar>
          </w:tcPr>
          <w:p>
            <w:r>
              <w:rPr>
                <w:b w:val="false"/>
                <w:bCs w:val="false"/>
                <w:color w:val="000000"/>
                <w:sz w:val="18"/>
                <w:szCs w:val="18"/>
              </w:rPr>
              <w:t xml:space="preserve">Media Strategy, Regional Media Managers</w:t>
            </w:r>
          </w:p>
        </w:tc>
        <w:tc>
          <w:tcPr>
            <w:tcW w:type="dxa" w:w="2900"/>
            <w:shd w:fill="F5F5F0" w:val="clear"/>
            <w:tcMar>
              <w:top w:type="dxa" w:w="80"/>
              <w:left w:type="dxa" w:w="100"/>
              <w:bottom w:type="dxa" w:w="80"/>
              <w:right w:type="dxa" w:w="100"/>
            </w:tcMar>
          </w:tcPr>
          <w:p>
            <w:r>
              <w:rPr>
                <w:b w:val="false"/>
                <w:bCs w:val="false"/>
                <w:color w:val="000000"/>
                <w:sz w:val="18"/>
                <w:szCs w:val="18"/>
              </w:rPr>
              <w:t xml:space="preserve">Global Media Director</w:t>
            </w:r>
          </w:p>
        </w:tc>
      </w:tr>
      <w:tr>
        <w:tc>
          <w:tcPr>
            <w:tcW w:type="dxa" w:w="2900"/>
            <w:tcMar>
              <w:top w:type="dxa" w:w="80"/>
              <w:left w:type="dxa" w:w="100"/>
              <w:bottom w:type="dxa" w:w="80"/>
              <w:right w:type="dxa" w:w="100"/>
            </w:tcMar>
          </w:tcPr>
          <w:p>
            <w:r>
              <w:rPr>
                <w:b w:val="false"/>
                <w:bCs w:val="false"/>
                <w:color w:val="000000"/>
                <w:sz w:val="18"/>
                <w:szCs w:val="18"/>
              </w:rPr>
              <w:t xml:space="preserve">JTBD / pre-brief intake</w:t>
            </w:r>
          </w:p>
        </w:tc>
        <w:tc>
          <w:tcPr>
            <w:tcW w:type="dxa" w:w="3560"/>
            <w:tcMar>
              <w:top w:type="dxa" w:w="80"/>
              <w:left w:type="dxa" w:w="100"/>
              <w:bottom w:type="dxa" w:w="80"/>
              <w:right w:type="dxa" w:w="100"/>
            </w:tcMar>
          </w:tcPr>
          <w:p>
            <w:r>
              <w:rPr>
                <w:b w:val="false"/>
                <w:bCs w:val="false"/>
                <w:color w:val="000000"/>
                <w:sz w:val="18"/>
                <w:szCs w:val="18"/>
              </w:rPr>
              <w:t xml:space="preserve">Brand Operations</w:t>
            </w:r>
          </w:p>
        </w:tc>
        <w:tc>
          <w:tcPr>
            <w:tcW w:type="dxa" w:w="2900"/>
            <w:tcMar>
              <w:top w:type="dxa" w:w="80"/>
              <w:left w:type="dxa" w:w="100"/>
              <w:bottom w:type="dxa" w:w="80"/>
              <w:right w:type="dxa" w:w="100"/>
            </w:tcMar>
          </w:tcPr>
          <w:p>
            <w:r>
              <w:rPr>
                <w:b w:val="false"/>
                <w:bCs w:val="false"/>
                <w:color w:val="000000"/>
                <w:sz w:val="18"/>
                <w:szCs w:val="18"/>
              </w:rPr>
              <w:t xml:space="preserve">Brand Director</w:t>
            </w:r>
          </w:p>
        </w:tc>
      </w:tr>
      <w:tr>
        <w:tc>
          <w:tcPr>
            <w:tcW w:type="dxa" w:w="2900"/>
            <w:shd w:fill="F5F5F0" w:val="clear"/>
            <w:tcMar>
              <w:top w:type="dxa" w:w="80"/>
              <w:left w:type="dxa" w:w="100"/>
              <w:bottom w:type="dxa" w:w="80"/>
              <w:right w:type="dxa" w:w="100"/>
            </w:tcMar>
          </w:tcPr>
          <w:p>
            <w:r>
              <w:rPr>
                <w:b w:val="false"/>
                <w:bCs w:val="false"/>
                <w:color w:val="000000"/>
                <w:sz w:val="18"/>
                <w:szCs w:val="18"/>
              </w:rPr>
              <w:t xml:space="preserve">Creative briefing</w:t>
            </w:r>
          </w:p>
        </w:tc>
        <w:tc>
          <w:tcPr>
            <w:tcW w:type="dxa" w:w="3560"/>
            <w:shd w:fill="F5F5F0" w:val="clear"/>
            <w:tcMar>
              <w:top w:type="dxa" w:w="80"/>
              <w:left w:type="dxa" w:w="100"/>
              <w:bottom w:type="dxa" w:w="80"/>
              <w:right w:type="dxa" w:w="100"/>
            </w:tcMar>
          </w:tcPr>
          <w:p>
            <w:r>
              <w:rPr>
                <w:b w:val="false"/>
                <w:bCs w:val="false"/>
                <w:color w:val="000000"/>
                <w:sz w:val="18"/>
                <w:szCs w:val="18"/>
              </w:rPr>
              <w:t xml:space="preserve">Brand Strategy, Agency Account</w:t>
            </w:r>
          </w:p>
        </w:tc>
        <w:tc>
          <w:tcPr>
            <w:tcW w:type="dxa" w:w="2900"/>
            <w:shd w:fill="F5F5F0" w:val="clear"/>
            <w:tcMar>
              <w:top w:type="dxa" w:w="80"/>
              <w:left w:type="dxa" w:w="100"/>
              <w:bottom w:type="dxa" w:w="80"/>
              <w:right w:type="dxa" w:w="100"/>
            </w:tcMar>
          </w:tcPr>
          <w:p>
            <w:r>
              <w:rPr>
                <w:b w:val="false"/>
                <w:bCs w:val="false"/>
                <w:color w:val="000000"/>
                <w:sz w:val="18"/>
                <w:szCs w:val="18"/>
              </w:rPr>
              <w:t xml:space="preserve">Brand Director</w:t>
            </w:r>
          </w:p>
        </w:tc>
      </w:tr>
      <w:tr>
        <w:tc>
          <w:tcPr>
            <w:tcW w:type="dxa" w:w="2900"/>
            <w:tcMar>
              <w:top w:type="dxa" w:w="80"/>
              <w:left w:type="dxa" w:w="100"/>
              <w:bottom w:type="dxa" w:w="80"/>
              <w:right w:type="dxa" w:w="100"/>
            </w:tcMar>
          </w:tcPr>
          <w:p>
            <w:r>
              <w:rPr>
                <w:b w:val="false"/>
                <w:bCs w:val="false"/>
                <w:color w:val="000000"/>
                <w:sz w:val="18"/>
                <w:szCs w:val="18"/>
              </w:rPr>
              <w:t xml:space="preserve">Creative concepting / approval</w:t>
            </w:r>
          </w:p>
        </w:tc>
        <w:tc>
          <w:tcPr>
            <w:tcW w:type="dxa" w:w="3560"/>
            <w:tcMar>
              <w:top w:type="dxa" w:w="80"/>
              <w:left w:type="dxa" w:w="100"/>
              <w:bottom w:type="dxa" w:w="80"/>
              <w:right w:type="dxa" w:w="100"/>
            </w:tcMar>
          </w:tcPr>
          <w:p>
            <w:r>
              <w:rPr>
                <w:b w:val="false"/>
                <w:bCs w:val="false"/>
                <w:color w:val="000000"/>
                <w:sz w:val="18"/>
                <w:szCs w:val="18"/>
              </w:rPr>
              <w:t xml:space="preserve">Creative Team</w:t>
            </w:r>
          </w:p>
        </w:tc>
        <w:tc>
          <w:tcPr>
            <w:tcW w:type="dxa" w:w="2900"/>
            <w:tcMar>
              <w:top w:type="dxa" w:w="80"/>
              <w:left w:type="dxa" w:w="100"/>
              <w:bottom w:type="dxa" w:w="80"/>
              <w:right w:type="dxa" w:w="100"/>
            </w:tcMar>
          </w:tcPr>
          <w:p>
            <w:r>
              <w:rPr>
                <w:b w:val="false"/>
                <w:bCs w:val="false"/>
                <w:color w:val="000000"/>
                <w:sz w:val="18"/>
                <w:szCs w:val="18"/>
              </w:rPr>
              <w:t xml:space="preserve">Executive Creative Director</w:t>
            </w:r>
          </w:p>
        </w:tc>
      </w:tr>
      <w:tr>
        <w:tc>
          <w:tcPr>
            <w:tcW w:type="dxa" w:w="2900"/>
            <w:shd w:fill="F5F5F0" w:val="clear"/>
            <w:tcMar>
              <w:top w:type="dxa" w:w="80"/>
              <w:left w:type="dxa" w:w="100"/>
              <w:bottom w:type="dxa" w:w="80"/>
              <w:right w:type="dxa" w:w="100"/>
            </w:tcMar>
          </w:tcPr>
          <w:p>
            <w:r>
              <w:rPr>
                <w:b w:val="false"/>
                <w:bCs w:val="false"/>
                <w:color w:val="000000"/>
                <w:sz w:val="18"/>
                <w:szCs w:val="18"/>
              </w:rPr>
              <w:t xml:space="preserve">Comms framework / touchpoint</w:t>
            </w:r>
          </w:p>
        </w:tc>
        <w:tc>
          <w:tcPr>
            <w:tcW w:type="dxa" w:w="3560"/>
            <w:shd w:fill="F5F5F0" w:val="clear"/>
            <w:tcMar>
              <w:top w:type="dxa" w:w="80"/>
              <w:left w:type="dxa" w:w="100"/>
              <w:bottom w:type="dxa" w:w="80"/>
              <w:right w:type="dxa" w:w="100"/>
            </w:tcMar>
          </w:tcPr>
          <w:p>
            <w:r>
              <w:rPr>
                <w:b w:val="false"/>
                <w:bCs w:val="false"/>
                <w:color w:val="000000"/>
                <w:sz w:val="18"/>
                <w:szCs w:val="18"/>
              </w:rPr>
              <w:t xml:space="preserve">Comms Planner</w:t>
            </w:r>
          </w:p>
        </w:tc>
        <w:tc>
          <w:tcPr>
            <w:tcW w:type="dxa" w:w="2900"/>
            <w:shd w:fill="F5F5F0" w:val="clear"/>
            <w:tcMar>
              <w:top w:type="dxa" w:w="80"/>
              <w:left w:type="dxa" w:w="100"/>
              <w:bottom w:type="dxa" w:w="80"/>
              <w:right w:type="dxa" w:w="100"/>
            </w:tcMar>
          </w:tcPr>
          <w:p>
            <w:r>
              <w:rPr>
                <w:b w:val="false"/>
                <w:bCs w:val="false"/>
                <w:color w:val="000000"/>
                <w:sz w:val="18"/>
                <w:szCs w:val="18"/>
              </w:rPr>
              <w:t xml:space="preserve">Marketing Strategy Director</w:t>
            </w:r>
          </w:p>
        </w:tc>
      </w:tr>
      <w:tr>
        <w:tc>
          <w:tcPr>
            <w:tcW w:type="dxa" w:w="2900"/>
            <w:tcMar>
              <w:top w:type="dxa" w:w="80"/>
              <w:left w:type="dxa" w:w="100"/>
              <w:bottom w:type="dxa" w:w="80"/>
              <w:right w:type="dxa" w:w="100"/>
            </w:tcMar>
          </w:tcPr>
          <w:p>
            <w:r>
              <w:rPr>
                <w:b w:val="false"/>
                <w:bCs w:val="false"/>
                <w:color w:val="000000"/>
                <w:sz w:val="18"/>
                <w:szCs w:val="18"/>
              </w:rPr>
              <w:t xml:space="preserve">Media plan definition</w:t>
            </w:r>
          </w:p>
        </w:tc>
        <w:tc>
          <w:tcPr>
            <w:tcW w:type="dxa" w:w="3560"/>
            <w:tcMar>
              <w:top w:type="dxa" w:w="80"/>
              <w:left w:type="dxa" w:w="100"/>
              <w:bottom w:type="dxa" w:w="80"/>
              <w:right w:type="dxa" w:w="100"/>
            </w:tcMar>
          </w:tcPr>
          <w:p>
            <w:r>
              <w:rPr>
                <w:b w:val="false"/>
                <w:bCs w:val="false"/>
                <w:color w:val="000000"/>
                <w:sz w:val="18"/>
                <w:szCs w:val="18"/>
              </w:rPr>
              <w:t xml:space="preserve">Media Planning</w:t>
            </w:r>
          </w:p>
        </w:tc>
        <w:tc>
          <w:tcPr>
            <w:tcW w:type="dxa" w:w="2900"/>
            <w:tcMar>
              <w:top w:type="dxa" w:w="80"/>
              <w:left w:type="dxa" w:w="100"/>
              <w:bottom w:type="dxa" w:w="80"/>
              <w:right w:type="dxa" w:w="100"/>
            </w:tcMar>
          </w:tcPr>
          <w:p>
            <w:r>
              <w:rPr>
                <w:b w:val="false"/>
                <w:bCs w:val="false"/>
                <w:color w:val="000000"/>
                <w:sz w:val="18"/>
                <w:szCs w:val="18"/>
              </w:rPr>
              <w:t xml:space="preserve">Global Media Director</w:t>
            </w:r>
          </w:p>
        </w:tc>
      </w:tr>
      <w:tr>
        <w:tc>
          <w:tcPr>
            <w:tcW w:type="dxa" w:w="2900"/>
            <w:shd w:fill="F5F5F0" w:val="clear"/>
            <w:tcMar>
              <w:top w:type="dxa" w:w="80"/>
              <w:left w:type="dxa" w:w="100"/>
              <w:bottom w:type="dxa" w:w="80"/>
              <w:right w:type="dxa" w:w="100"/>
            </w:tcMar>
          </w:tcPr>
          <w:p>
            <w:r>
              <w:rPr>
                <w:b w:val="false"/>
                <w:bCs w:val="false"/>
                <w:color w:val="000000"/>
                <w:sz w:val="18"/>
                <w:szCs w:val="18"/>
              </w:rPr>
              <w:t xml:space="preserve">Content dev &amp; localisation</w:t>
            </w:r>
          </w:p>
        </w:tc>
        <w:tc>
          <w:tcPr>
            <w:tcW w:type="dxa" w:w="3560"/>
            <w:shd w:fill="F5F5F0" w:val="clear"/>
            <w:tcMar>
              <w:top w:type="dxa" w:w="80"/>
              <w:left w:type="dxa" w:w="100"/>
              <w:bottom w:type="dxa" w:w="80"/>
              <w:right w:type="dxa" w:w="100"/>
            </w:tcMar>
          </w:tcPr>
          <w:p>
            <w:r>
              <w:rPr>
                <w:b w:val="false"/>
                <w:bCs w:val="false"/>
                <w:color w:val="000000"/>
                <w:sz w:val="18"/>
                <w:szCs w:val="18"/>
              </w:rPr>
              <w:t xml:space="preserve">Content Supply Lead, Production Partners</w:t>
            </w:r>
          </w:p>
        </w:tc>
        <w:tc>
          <w:tcPr>
            <w:tcW w:type="dxa" w:w="2900"/>
            <w:shd w:fill="F5F5F0" w:val="clear"/>
            <w:tcMar>
              <w:top w:type="dxa" w:w="80"/>
              <w:left w:type="dxa" w:w="100"/>
              <w:bottom w:type="dxa" w:w="80"/>
              <w:right w:type="dxa" w:w="100"/>
            </w:tcMar>
          </w:tcPr>
          <w:p>
            <w:r>
              <w:rPr>
                <w:b w:val="false"/>
                <w:bCs w:val="false"/>
                <w:color w:val="000000"/>
                <w:sz w:val="18"/>
                <w:szCs w:val="18"/>
              </w:rPr>
              <w:t xml:space="preserve">Marketing Operations Director</w:t>
            </w:r>
          </w:p>
        </w:tc>
      </w:tr>
      <w:tr>
        <w:tc>
          <w:tcPr>
            <w:tcW w:type="dxa" w:w="2900"/>
            <w:tcMar>
              <w:top w:type="dxa" w:w="80"/>
              <w:left w:type="dxa" w:w="100"/>
              <w:bottom w:type="dxa" w:w="80"/>
              <w:right w:type="dxa" w:w="100"/>
            </w:tcMar>
          </w:tcPr>
          <w:p>
            <w:r>
              <w:rPr>
                <w:b w:val="false"/>
                <w:bCs w:val="false"/>
                <w:color w:val="000000"/>
                <w:sz w:val="18"/>
                <w:szCs w:val="18"/>
              </w:rPr>
              <w:t xml:space="preserve">Measurement &amp; optimisation</w:t>
            </w:r>
          </w:p>
        </w:tc>
        <w:tc>
          <w:tcPr>
            <w:tcW w:type="dxa" w:w="3560"/>
            <w:tcMar>
              <w:top w:type="dxa" w:w="80"/>
              <w:left w:type="dxa" w:w="100"/>
              <w:bottom w:type="dxa" w:w="80"/>
              <w:right w:type="dxa" w:w="100"/>
            </w:tcMar>
          </w:tcPr>
          <w:p>
            <w:r>
              <w:rPr>
                <w:b w:val="false"/>
                <w:bCs w:val="false"/>
                <w:color w:val="000000"/>
                <w:sz w:val="18"/>
                <w:szCs w:val="18"/>
              </w:rPr>
              <w:t xml:space="preserve">Insights &amp; Analytics</w:t>
            </w:r>
          </w:p>
        </w:tc>
        <w:tc>
          <w:tcPr>
            <w:tcW w:type="dxa" w:w="2900"/>
            <w:tcMar>
              <w:top w:type="dxa" w:w="80"/>
              <w:left w:type="dxa" w:w="100"/>
              <w:bottom w:type="dxa" w:w="80"/>
              <w:right w:type="dxa" w:w="100"/>
            </w:tcMar>
          </w:tcPr>
          <w:p>
            <w:r>
              <w:rPr>
                <w:b w:val="false"/>
                <w:bCs w:val="false"/>
                <w:color w:val="000000"/>
                <w:sz w:val="18"/>
                <w:szCs w:val="18"/>
              </w:rPr>
              <w:t xml:space="preserve">Data / Measurement Lead</w:t>
            </w:r>
          </w:p>
        </w:tc>
      </w:tr>
      <w:tr>
        <w:tc>
          <w:tcPr>
            <w:tcW w:type="dxa" w:w="2900"/>
            <w:shd w:fill="F5F5F0" w:val="clear"/>
            <w:tcMar>
              <w:top w:type="dxa" w:w="80"/>
              <w:left w:type="dxa" w:w="100"/>
              <w:bottom w:type="dxa" w:w="80"/>
              <w:right w:type="dxa" w:w="100"/>
            </w:tcMar>
          </w:tcPr>
          <w:p>
            <w:r>
              <w:rPr>
                <w:b w:val="false"/>
                <w:bCs w:val="false"/>
                <w:color w:val="000000"/>
                <w:sz w:val="18"/>
                <w:szCs w:val="18"/>
              </w:rPr>
              <w:t xml:space="preserve">Workflow orchestration</w:t>
            </w:r>
          </w:p>
        </w:tc>
        <w:tc>
          <w:tcPr>
            <w:tcW w:type="dxa" w:w="3560"/>
            <w:shd w:fill="F5F5F0" w:val="clear"/>
            <w:tcMar>
              <w:top w:type="dxa" w:w="80"/>
              <w:left w:type="dxa" w:w="100"/>
              <w:bottom w:type="dxa" w:w="80"/>
              <w:right w:type="dxa" w:w="100"/>
            </w:tcMar>
          </w:tcPr>
          <w:p>
            <w:r>
              <w:rPr>
                <w:b w:val="false"/>
                <w:bCs w:val="false"/>
                <w:color w:val="000000"/>
                <w:sz w:val="18"/>
                <w:szCs w:val="18"/>
              </w:rPr>
              <w:t xml:space="preserve">Marketing Operations</w:t>
            </w:r>
          </w:p>
        </w:tc>
        <w:tc>
          <w:tcPr>
            <w:tcW w:type="dxa" w:w="2900"/>
            <w:shd w:fill="F5F5F0" w:val="clear"/>
            <w:tcMar>
              <w:top w:type="dxa" w:w="80"/>
              <w:left w:type="dxa" w:w="100"/>
              <w:bottom w:type="dxa" w:w="80"/>
              <w:right w:type="dxa" w:w="100"/>
            </w:tcMar>
          </w:tcPr>
          <w:p>
            <w:r>
              <w:rPr>
                <w:b w:val="false"/>
                <w:bCs w:val="false"/>
                <w:color w:val="000000"/>
                <w:sz w:val="18"/>
                <w:szCs w:val="18"/>
              </w:rPr>
              <w:t xml:space="preserve">Marketing Operations Director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5B5B" w:sz="4"/>
              <w:left w:val="single" w:color="A65B5B" w:sz="4"/>
              <w:bottom w:val="single" w:color="A65B5B" w:sz="4"/>
              <w:right w:val="single" w:color="A65B5B" w:sz="4"/>
            </w:tcBorders>
            <w:shd w:fill="F7E9E9" w:val="clear"/>
            <w:tcMar>
              <w:top w:type="dxa" w:w="160"/>
              <w:left w:type="dxa" w:w="220"/>
              <w:bottom w:type="dxa" w:w="160"/>
              <w:right w:type="dxa" w:w="220"/>
            </w:tcMar>
          </w:tcPr>
          <w:p>
            <w:pPr>
              <w:spacing w:after="100"/>
            </w:pPr>
            <w:r>
              <w:rPr>
                <w:b/>
                <w:bCs/>
                <w:sz w:val="20"/>
                <w:szCs w:val="20"/>
              </w:rPr>
              <w:t xml:space="preserve">Risk flag: RACI coverage gap</w:t>
            </w:r>
          </w:p>
          <w:p>
            <w:pPr>
              <w:pStyle w:val="ListParagraph"/>
              <w:numPr>
                <w:ilvl w:val="0"/>
                <w:numId w:val="1"/>
              </w:numPr>
              <w:spacing w:after="60"/>
            </w:pPr>
            <w:r>
              <w:t xml:space="preserve">Retailer.com content refresh (WF11) and Influencer/creator activation (WF12) have no current-state RACI row in the source data. Evidence tag: Not evidenced. Both are active, evidenced workflows on volume (76/month and 54/month respectively), the gap is specific to ownership, not to the workflow's existence.</w:t>
            </w:r>
          </w:p>
          <w:p>
            <w:pPr>
              <w:pStyle w:val="ListParagraph"/>
              <w:numPr>
                <w:ilvl w:val="0"/>
                <w:numId w:val="1"/>
              </w:numPr>
              <w:spacing w:after="60"/>
            </w:pPr>
            <w:r>
              <w:t xml:space="preserve">Recommendation: assign Responsible and Accountable owners for both before either is scoped into a future wave. WF11 is already flagged for Wave 1 based on impact and effort; it cannot be piloted without a named accountable owner first.</w:t>
            </w:r>
          </w:p>
        </w:tc>
      </w:tr>
    </w:tbl>
    <w:p>
      <w:pPr>
        <w:pStyle w:val="Heading1"/>
        <w:spacing w:after="160" w:before="360"/>
      </w:pPr>
      <w:r>
        <w:t xml:space="preserve">4. KPI Model and Evidence Gaps</w:t>
      </w:r>
    </w:p>
    <w:p>
      <w:pPr>
        <w:spacing w:after="160"/>
      </w:pPr>
      <w:r>
        <w:rPr>
          <w:b w:val="false"/>
          <w:bCs w:val="false"/>
          <w:i w:val="false"/>
          <w:iCs w:val="false"/>
          <w:sz w:val="21"/>
          <w:szCs w:val="21"/>
        </w:rPr>
        <w:t xml:space="preserve">28 KPIs are tracked. 12 (43%) are Validated, 11 (39%) are Partially validated, and 5 (18%) Need validation. This is a genuine working baseline, not a hypothesis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20"/>
        <w:gridCol w:w="1500"/>
        <w:gridCol w:w="1600"/>
        <w:gridCol w:w="1140"/>
        <w:gridCol w:w="1800"/>
      </w:tblGrid>
      <w:tr>
        <w:trPr>
          <w:tblHeader/>
        </w:trPr>
        <w:tc>
          <w:tcPr>
            <w:tcW w:type="dxa" w:w="800"/>
            <w:shd w:fill="1F2937" w:val="clear"/>
            <w:tcMar>
              <w:top w:type="dxa" w:w="80"/>
              <w:left w:type="dxa" w:w="100"/>
              <w:bottom w:type="dxa" w:w="80"/>
              <w:right w:type="dxa" w:w="100"/>
            </w:tcMar>
          </w:tcPr>
          <w:p>
            <w:r>
              <w:rPr>
                <w:b/>
                <w:bCs/>
                <w:color w:val="FFFFFF"/>
                <w:sz w:val="18"/>
                <w:szCs w:val="18"/>
              </w:rPr>
              <w:t xml:space="preserve">ID</w:t>
            </w:r>
          </w:p>
        </w:tc>
        <w:tc>
          <w:tcPr>
            <w:tcW w:type="dxa" w:w="2520"/>
            <w:shd w:fill="1F2937" w:val="clear"/>
            <w:tcMar>
              <w:top w:type="dxa" w:w="80"/>
              <w:left w:type="dxa" w:w="100"/>
              <w:bottom w:type="dxa" w:w="80"/>
              <w:right w:type="dxa" w:w="100"/>
            </w:tcMar>
          </w:tcPr>
          <w:p>
            <w:r>
              <w:rPr>
                <w:b/>
                <w:bCs/>
                <w:color w:val="FFFFFF"/>
                <w:sz w:val="18"/>
                <w:szCs w:val="18"/>
              </w:rPr>
              <w:t xml:space="preserve">KPI</w:t>
            </w:r>
          </w:p>
        </w:tc>
        <w:tc>
          <w:tcPr>
            <w:tcW w:type="dxa" w:w="1500"/>
            <w:shd w:fill="1F2937" w:val="clear"/>
            <w:tcMar>
              <w:top w:type="dxa" w:w="80"/>
              <w:left w:type="dxa" w:w="100"/>
              <w:bottom w:type="dxa" w:w="80"/>
              <w:right w:type="dxa" w:w="100"/>
            </w:tcMar>
          </w:tcPr>
          <w:p>
            <w:r>
              <w:rPr>
                <w:b/>
                <w:bCs/>
                <w:color w:val="FFFFFF"/>
                <w:sz w:val="18"/>
                <w:szCs w:val="18"/>
              </w:rPr>
              <w:t xml:space="preserve">Baseline</w:t>
            </w:r>
          </w:p>
        </w:tc>
        <w:tc>
          <w:tcPr>
            <w:tcW w:type="dxa" w:w="1600"/>
            <w:shd w:fill="1F2937" w:val="clear"/>
            <w:tcMar>
              <w:top w:type="dxa" w:w="80"/>
              <w:left w:type="dxa" w:w="100"/>
              <w:bottom w:type="dxa" w:w="80"/>
              <w:right w:type="dxa" w:w="100"/>
            </w:tcMar>
          </w:tcPr>
          <w:p>
            <w:r>
              <w:rPr>
                <w:b/>
                <w:bCs/>
                <w:color w:val="FFFFFF"/>
                <w:sz w:val="18"/>
                <w:szCs w:val="18"/>
              </w:rPr>
              <w:t xml:space="preserve">12m Target</w:t>
            </w:r>
          </w:p>
        </w:tc>
        <w:tc>
          <w:tcPr>
            <w:tcW w:type="dxa" w:w="1140"/>
            <w:shd w:fill="1F2937" w:val="clear"/>
            <w:tcMar>
              <w:top w:type="dxa" w:w="80"/>
              <w:left w:type="dxa" w:w="100"/>
              <w:bottom w:type="dxa" w:w="80"/>
              <w:right w:type="dxa" w:w="100"/>
            </w:tcMar>
          </w:tcPr>
          <w:p>
            <w:r>
              <w:rPr>
                <w:b/>
                <w:bCs/>
                <w:color w:val="FFFFFF"/>
                <w:sz w:val="18"/>
                <w:szCs w:val="18"/>
              </w:rPr>
              <w:t xml:space="preserve">Confidence</w:t>
            </w:r>
          </w:p>
        </w:tc>
        <w:tc>
          <w:tcPr>
            <w:tcW w:type="dxa" w:w="1800"/>
            <w:shd w:fill="1F2937" w:val="clear"/>
            <w:tcMar>
              <w:top w:type="dxa" w:w="80"/>
              <w:left w:type="dxa" w:w="100"/>
              <w:bottom w:type="dxa" w:w="80"/>
              <w:right w:type="dxa" w:w="100"/>
            </w:tcMar>
          </w:tcPr>
          <w:p>
            <w:r>
              <w:rPr>
                <w:b/>
                <w:bCs/>
                <w:color w:val="FFFFFF"/>
                <w:sz w:val="18"/>
                <w:szCs w:val="18"/>
              </w:rPr>
              <w:t xml:space="preserve">Status</w:t>
            </w:r>
          </w:p>
        </w:tc>
      </w:tr>
      <w:tr>
        <w:tc>
          <w:tcPr>
            <w:tcW w:type="dxa" w:w="800"/>
            <w:tcMar>
              <w:top w:type="dxa" w:w="80"/>
              <w:left w:type="dxa" w:w="100"/>
              <w:bottom w:type="dxa" w:w="80"/>
              <w:right w:type="dxa" w:w="100"/>
            </w:tcMar>
          </w:tcPr>
          <w:p>
            <w:r>
              <w:rPr>
                <w:b w:val="false"/>
                <w:bCs w:val="false"/>
                <w:color w:val="000000"/>
                <w:sz w:val="18"/>
                <w:szCs w:val="18"/>
              </w:rPr>
              <w:t xml:space="preserve">KPI01</w:t>
            </w:r>
          </w:p>
        </w:tc>
        <w:tc>
          <w:tcPr>
            <w:tcW w:type="dxa" w:w="2520"/>
            <w:tcMar>
              <w:top w:type="dxa" w:w="80"/>
              <w:left w:type="dxa" w:w="100"/>
              <w:bottom w:type="dxa" w:w="80"/>
              <w:right w:type="dxa" w:w="100"/>
            </w:tcMar>
          </w:tcPr>
          <w:p>
            <w:r>
              <w:rPr>
                <w:b w:val="false"/>
                <w:bCs w:val="false"/>
                <w:color w:val="000000"/>
                <w:sz w:val="18"/>
                <w:szCs w:val="18"/>
              </w:rPr>
              <w:t xml:space="preserve">Divisions in scope</w:t>
            </w:r>
          </w:p>
        </w:tc>
        <w:tc>
          <w:tcPr>
            <w:tcW w:type="dxa" w:w="1500"/>
            <w:tcMar>
              <w:top w:type="dxa" w:w="80"/>
              <w:left w:type="dxa" w:w="100"/>
              <w:bottom w:type="dxa" w:w="80"/>
              <w:right w:type="dxa" w:w="100"/>
            </w:tcMar>
          </w:tcPr>
          <w:p>
            <w:r>
              <w:rPr>
                <w:b w:val="false"/>
                <w:bCs w:val="false"/>
                <w:color w:val="000000"/>
                <w:sz w:val="18"/>
                <w:szCs w:val="18"/>
              </w:rPr>
              <w:t xml:space="preserve">6 count</w:t>
            </w:r>
          </w:p>
        </w:tc>
        <w:tc>
          <w:tcPr>
            <w:tcW w:type="dxa" w:w="1600"/>
            <w:tcMar>
              <w:top w:type="dxa" w:w="80"/>
              <w:left w:type="dxa" w:w="100"/>
              <w:bottom w:type="dxa" w:w="80"/>
              <w:right w:type="dxa" w:w="100"/>
            </w:tcMar>
          </w:tcPr>
          <w:p>
            <w:r>
              <w:rPr>
                <w:b w:val="false"/>
                <w:bCs w:val="false"/>
                <w:color w:val="000000"/>
                <w:sz w:val="18"/>
                <w:szCs w:val="18"/>
              </w:rPr>
              <w:t xml:space="preserve">Maintain, 6</w:t>
            </w:r>
          </w:p>
        </w:tc>
        <w:tc>
          <w:tcPr>
            <w:tcW w:type="dxa" w:w="1140"/>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KPI02</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Annual production/content spend</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18.7 GBPm</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16.8</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KPI03</w:t>
            </w:r>
          </w:p>
        </w:tc>
        <w:tc>
          <w:tcPr>
            <w:tcW w:type="dxa" w:w="2520"/>
            <w:tcMar>
              <w:top w:type="dxa" w:w="80"/>
              <w:left w:type="dxa" w:w="100"/>
              <w:bottom w:type="dxa" w:w="80"/>
              <w:right w:type="dxa" w:w="100"/>
            </w:tcMar>
          </w:tcPr>
          <w:p>
            <w:r>
              <w:rPr>
                <w:b w:val="false"/>
                <w:bCs w:val="false"/>
                <w:color w:val="000000"/>
                <w:sz w:val="18"/>
                <w:szCs w:val="18"/>
              </w:rPr>
              <w:t xml:space="preserve">Untracked local-market spend</w:t>
            </w:r>
          </w:p>
        </w:tc>
        <w:tc>
          <w:tcPr>
            <w:tcW w:type="dxa" w:w="1500"/>
            <w:tcMar>
              <w:top w:type="dxa" w:w="80"/>
              <w:left w:type="dxa" w:w="100"/>
              <w:bottom w:type="dxa" w:w="80"/>
              <w:right w:type="dxa" w:w="100"/>
            </w:tcMar>
          </w:tcPr>
          <w:p>
            <w:r>
              <w:rPr>
                <w:b w:val="false"/>
                <w:bCs w:val="false"/>
                <w:color w:val="000000"/>
                <w:sz w:val="18"/>
                <w:szCs w:val="18"/>
              </w:rPr>
              <w:t xml:space="preserve">4.2 GBPm</w:t>
            </w:r>
          </w:p>
        </w:tc>
        <w:tc>
          <w:tcPr>
            <w:tcW w:type="dxa" w:w="1600"/>
            <w:tcMar>
              <w:top w:type="dxa" w:w="80"/>
              <w:left w:type="dxa" w:w="100"/>
              <w:bottom w:type="dxa" w:w="80"/>
              <w:right w:type="dxa" w:w="100"/>
            </w:tcMar>
          </w:tcPr>
          <w:p>
            <w:r>
              <w:rPr>
                <w:b w:val="false"/>
                <w:bCs w:val="false"/>
                <w:color w:val="000000"/>
                <w:sz w:val="18"/>
                <w:szCs w:val="18"/>
              </w:rPr>
              <w:t xml:space="preserve">Reduce/reconcile to 1.0</w:t>
            </w:r>
          </w:p>
        </w:tc>
        <w:tc>
          <w:tcPr>
            <w:tcW w:type="dxa" w:w="1140"/>
            <w:tcMar>
              <w:top w:type="dxa" w:w="80"/>
              <w:left w:type="dxa" w:w="100"/>
              <w:bottom w:type="dxa" w:w="80"/>
              <w:right w:type="dxa" w:w="100"/>
            </w:tcMar>
          </w:tcPr>
          <w:p>
            <w:r>
              <w:rPr>
                <w:b w:val="false"/>
                <w:bCs w:val="false"/>
                <w:color w:val="000000"/>
                <w:sz w:val="18"/>
                <w:szCs w:val="18"/>
              </w:rPr>
              <w:t xml:space="preserve">Low</w:t>
            </w:r>
          </w:p>
        </w:tc>
        <w:tc>
          <w:tcPr>
            <w:tcW w:type="dxa" w:w="1800"/>
            <w:tcMar>
              <w:top w:type="dxa" w:w="80"/>
              <w:left w:type="dxa" w:w="100"/>
              <w:bottom w:type="dxa" w:w="80"/>
              <w:right w:type="dxa" w:w="100"/>
            </w:tcMar>
          </w:tcPr>
          <w:p>
            <w:r>
              <w:rPr>
                <w:b w:val="false"/>
                <w:bCs w:val="false"/>
                <w:color w:val="000000"/>
                <w:sz w:val="18"/>
                <w:szCs w:val="18"/>
              </w:rPr>
              <w:t xml:space="preserve">Needs validation</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KPI04</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End-to-end planning to launch</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84 days</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63</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KPI05</w:t>
            </w:r>
          </w:p>
        </w:tc>
        <w:tc>
          <w:tcPr>
            <w:tcW w:type="dxa" w:w="2520"/>
            <w:tcMar>
              <w:top w:type="dxa" w:w="80"/>
              <w:left w:type="dxa" w:w="100"/>
              <w:bottom w:type="dxa" w:w="80"/>
              <w:right w:type="dxa" w:w="100"/>
            </w:tcMar>
          </w:tcPr>
          <w:p>
            <w:r>
              <w:rPr>
                <w:b w:val="false"/>
                <w:bCs w:val="false"/>
                <w:color w:val="000000"/>
                <w:sz w:val="18"/>
                <w:szCs w:val="18"/>
              </w:rPr>
              <w:t xml:space="preserve">Stage 1 pre-brief intake duration</w:t>
            </w:r>
          </w:p>
        </w:tc>
        <w:tc>
          <w:tcPr>
            <w:tcW w:type="dxa" w:w="1500"/>
            <w:tcMar>
              <w:top w:type="dxa" w:w="80"/>
              <w:left w:type="dxa" w:w="100"/>
              <w:bottom w:type="dxa" w:w="80"/>
              <w:right w:type="dxa" w:w="100"/>
            </w:tcMar>
          </w:tcPr>
          <w:p>
            <w:r>
              <w:rPr>
                <w:b w:val="false"/>
                <w:bCs w:val="false"/>
                <w:color w:val="000000"/>
                <w:sz w:val="18"/>
                <w:szCs w:val="18"/>
              </w:rPr>
              <w:t xml:space="preserve">7 days</w:t>
            </w:r>
          </w:p>
        </w:tc>
        <w:tc>
          <w:tcPr>
            <w:tcW w:type="dxa" w:w="1600"/>
            <w:tcMar>
              <w:top w:type="dxa" w:w="80"/>
              <w:left w:type="dxa" w:w="100"/>
              <w:bottom w:type="dxa" w:w="80"/>
              <w:right w:type="dxa" w:w="100"/>
            </w:tcMar>
          </w:tcPr>
          <w:p>
            <w:r>
              <w:rPr>
                <w:b w:val="false"/>
                <w:bCs w:val="false"/>
                <w:color w:val="000000"/>
                <w:sz w:val="18"/>
                <w:szCs w:val="18"/>
              </w:rPr>
              <w:t xml:space="preserve">Reduce to 3</w:t>
            </w:r>
          </w:p>
        </w:tc>
        <w:tc>
          <w:tcPr>
            <w:tcW w:type="dxa" w:w="1140"/>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KPI06</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Stage 2 JTBD alignment duration</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6 days</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4</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KPI07</w:t>
            </w:r>
          </w:p>
        </w:tc>
        <w:tc>
          <w:tcPr>
            <w:tcW w:type="dxa" w:w="2520"/>
            <w:tcMar>
              <w:top w:type="dxa" w:w="80"/>
              <w:left w:type="dxa" w:w="100"/>
              <w:bottom w:type="dxa" w:w="80"/>
              <w:right w:type="dxa" w:w="100"/>
            </w:tcMar>
          </w:tcPr>
          <w:p>
            <w:r>
              <w:rPr>
                <w:b w:val="false"/>
                <w:bCs w:val="false"/>
                <w:color w:val="000000"/>
                <w:sz w:val="18"/>
                <w:szCs w:val="18"/>
              </w:rPr>
              <w:t xml:space="preserve">Stage 3 creative ideation duration</w:t>
            </w:r>
          </w:p>
        </w:tc>
        <w:tc>
          <w:tcPr>
            <w:tcW w:type="dxa" w:w="1500"/>
            <w:tcMar>
              <w:top w:type="dxa" w:w="80"/>
              <w:left w:type="dxa" w:w="100"/>
              <w:bottom w:type="dxa" w:w="80"/>
              <w:right w:type="dxa" w:w="100"/>
            </w:tcMar>
          </w:tcPr>
          <w:p>
            <w:r>
              <w:rPr>
                <w:b w:val="false"/>
                <w:bCs w:val="false"/>
                <w:color w:val="000000"/>
                <w:sz w:val="18"/>
                <w:szCs w:val="18"/>
              </w:rPr>
              <w:t xml:space="preserve">18 days</w:t>
            </w:r>
          </w:p>
        </w:tc>
        <w:tc>
          <w:tcPr>
            <w:tcW w:type="dxa" w:w="1600"/>
            <w:tcMar>
              <w:top w:type="dxa" w:w="80"/>
              <w:left w:type="dxa" w:w="100"/>
              <w:bottom w:type="dxa" w:w="80"/>
              <w:right w:type="dxa" w:w="100"/>
            </w:tcMar>
          </w:tcPr>
          <w:p>
            <w:r>
              <w:rPr>
                <w:b w:val="false"/>
                <w:bCs w:val="false"/>
                <w:color w:val="000000"/>
                <w:sz w:val="18"/>
                <w:szCs w:val="18"/>
              </w:rPr>
              <w:t xml:space="preserve">Reduce to 14</w:t>
            </w:r>
          </w:p>
        </w:tc>
        <w:tc>
          <w:tcPr>
            <w:tcW w:type="dxa" w:w="1140"/>
            <w:tcMar>
              <w:top w:type="dxa" w:w="80"/>
              <w:left w:type="dxa" w:w="100"/>
              <w:bottom w:type="dxa" w:w="80"/>
              <w:right w:type="dxa" w:w="100"/>
            </w:tcMar>
          </w:tcPr>
          <w:p>
            <w:r>
              <w:rPr>
                <w:b w:val="false"/>
                <w:bCs w:val="false"/>
                <w:color w:val="000000"/>
                <w:sz w:val="18"/>
                <w:szCs w:val="18"/>
              </w:rPr>
              <w:t xml:space="preserve">Medium</w:t>
            </w:r>
          </w:p>
        </w:tc>
        <w:tc>
          <w:tcPr>
            <w:tcW w:type="dxa" w:w="1800"/>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KPI08</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Stage 4 comms/touchpoint planning</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12 days</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8</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KPI09</w:t>
            </w:r>
          </w:p>
        </w:tc>
        <w:tc>
          <w:tcPr>
            <w:tcW w:type="dxa" w:w="2520"/>
            <w:tcMar>
              <w:top w:type="dxa" w:w="80"/>
              <w:left w:type="dxa" w:w="100"/>
              <w:bottom w:type="dxa" w:w="80"/>
              <w:right w:type="dxa" w:w="100"/>
            </w:tcMar>
          </w:tcPr>
          <w:p>
            <w:r>
              <w:rPr>
                <w:b w:val="false"/>
                <w:bCs w:val="false"/>
                <w:color w:val="000000"/>
                <w:sz w:val="18"/>
                <w:szCs w:val="18"/>
              </w:rPr>
              <w:t xml:space="preserve">Stage 5 asset production duration</w:t>
            </w:r>
          </w:p>
        </w:tc>
        <w:tc>
          <w:tcPr>
            <w:tcW w:type="dxa" w:w="1500"/>
            <w:tcMar>
              <w:top w:type="dxa" w:w="80"/>
              <w:left w:type="dxa" w:w="100"/>
              <w:bottom w:type="dxa" w:w="80"/>
              <w:right w:type="dxa" w:w="100"/>
            </w:tcMar>
          </w:tcPr>
          <w:p>
            <w:r>
              <w:rPr>
                <w:b w:val="false"/>
                <w:bCs w:val="false"/>
                <w:color w:val="000000"/>
                <w:sz w:val="18"/>
                <w:szCs w:val="18"/>
              </w:rPr>
              <w:t xml:space="preserve">21 days</w:t>
            </w:r>
          </w:p>
        </w:tc>
        <w:tc>
          <w:tcPr>
            <w:tcW w:type="dxa" w:w="1600"/>
            <w:tcMar>
              <w:top w:type="dxa" w:w="80"/>
              <w:left w:type="dxa" w:w="100"/>
              <w:bottom w:type="dxa" w:w="80"/>
              <w:right w:type="dxa" w:w="100"/>
            </w:tcMar>
          </w:tcPr>
          <w:p>
            <w:r>
              <w:rPr>
                <w:b w:val="false"/>
                <w:bCs w:val="false"/>
                <w:color w:val="000000"/>
                <w:sz w:val="18"/>
                <w:szCs w:val="18"/>
              </w:rPr>
              <w:t xml:space="preserve">Reduce to 15</w:t>
            </w:r>
          </w:p>
        </w:tc>
        <w:tc>
          <w:tcPr>
            <w:tcW w:type="dxa" w:w="1140"/>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KPI10</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Stage 6 localisation/transcreation</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12 days</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7</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Validated</w:t>
            </w:r>
          </w:p>
        </w:tc>
      </w:tr>
      <w:tr>
        <w:tc>
          <w:tcPr>
            <w:tcW w:type="dxa" w:w="800"/>
            <w:tcMar>
              <w:top w:type="dxa" w:w="80"/>
              <w:left w:type="dxa" w:w="100"/>
              <w:bottom w:type="dxa" w:w="80"/>
              <w:right w:type="dxa" w:w="100"/>
            </w:tcMar>
          </w:tcPr>
          <w:p>
            <w:r>
              <w:rPr>
                <w:b w:val="false"/>
                <w:bCs w:val="false"/>
                <w:color w:val="000000"/>
                <w:sz w:val="18"/>
                <w:szCs w:val="18"/>
              </w:rPr>
              <w:t xml:space="preserve">KPI11</w:t>
            </w:r>
          </w:p>
        </w:tc>
        <w:tc>
          <w:tcPr>
            <w:tcW w:type="dxa" w:w="2520"/>
            <w:tcMar>
              <w:top w:type="dxa" w:w="80"/>
              <w:left w:type="dxa" w:w="100"/>
              <w:bottom w:type="dxa" w:w="80"/>
              <w:right w:type="dxa" w:w="100"/>
            </w:tcMar>
          </w:tcPr>
          <w:p>
            <w:r>
              <w:rPr>
                <w:b w:val="false"/>
                <w:bCs w:val="false"/>
                <w:color w:val="000000"/>
                <w:sz w:val="18"/>
                <w:szCs w:val="18"/>
              </w:rPr>
              <w:t xml:space="preserve">Brief completeness, first submission</w:t>
            </w:r>
          </w:p>
        </w:tc>
        <w:tc>
          <w:tcPr>
            <w:tcW w:type="dxa" w:w="1500"/>
            <w:tcMar>
              <w:top w:type="dxa" w:w="80"/>
              <w:left w:type="dxa" w:w="100"/>
              <w:bottom w:type="dxa" w:w="80"/>
              <w:right w:type="dxa" w:w="100"/>
            </w:tcMar>
          </w:tcPr>
          <w:p>
            <w:r>
              <w:rPr>
                <w:b w:val="false"/>
                <w:bCs w:val="false"/>
                <w:color w:val="000000"/>
                <w:sz w:val="18"/>
                <w:szCs w:val="18"/>
              </w:rPr>
              <w:t xml:space="preserve">58%</w:t>
            </w:r>
          </w:p>
        </w:tc>
        <w:tc>
          <w:tcPr>
            <w:tcW w:type="dxa" w:w="1600"/>
            <w:tcMar>
              <w:top w:type="dxa" w:w="80"/>
              <w:left w:type="dxa" w:w="100"/>
              <w:bottom w:type="dxa" w:w="80"/>
              <w:right w:type="dxa" w:w="100"/>
            </w:tcMar>
          </w:tcPr>
          <w:p>
            <w:r>
              <w:rPr>
                <w:b w:val="false"/>
                <w:bCs w:val="false"/>
                <w:color w:val="000000"/>
                <w:sz w:val="18"/>
                <w:szCs w:val="18"/>
              </w:rPr>
              <w:t xml:space="preserve">Increase to 85%</w:t>
            </w:r>
          </w:p>
        </w:tc>
        <w:tc>
          <w:tcPr>
            <w:tcW w:type="dxa" w:w="1140"/>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KPI12</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Creative rework rate</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28%</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18%</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KPI13</w:t>
            </w:r>
          </w:p>
        </w:tc>
        <w:tc>
          <w:tcPr>
            <w:tcW w:type="dxa" w:w="2520"/>
            <w:tcMar>
              <w:top w:type="dxa" w:w="80"/>
              <w:left w:type="dxa" w:w="100"/>
              <w:bottom w:type="dxa" w:w="80"/>
              <w:right w:type="dxa" w:w="100"/>
            </w:tcMar>
          </w:tcPr>
          <w:p>
            <w:r>
              <w:rPr>
                <w:b w:val="false"/>
                <w:bCs w:val="false"/>
                <w:color w:val="000000"/>
                <w:sz w:val="18"/>
                <w:szCs w:val="18"/>
              </w:rPr>
              <w:t xml:space="preserve">Localisation rework rate</w:t>
            </w:r>
          </w:p>
        </w:tc>
        <w:tc>
          <w:tcPr>
            <w:tcW w:type="dxa" w:w="1500"/>
            <w:tcMar>
              <w:top w:type="dxa" w:w="80"/>
              <w:left w:type="dxa" w:w="100"/>
              <w:bottom w:type="dxa" w:w="80"/>
              <w:right w:type="dxa" w:w="100"/>
            </w:tcMar>
          </w:tcPr>
          <w:p>
            <w:r>
              <w:rPr>
                <w:b w:val="false"/>
                <w:bCs w:val="false"/>
                <w:color w:val="000000"/>
                <w:sz w:val="18"/>
                <w:szCs w:val="18"/>
              </w:rPr>
              <w:t xml:space="preserve">34%</w:t>
            </w:r>
          </w:p>
        </w:tc>
        <w:tc>
          <w:tcPr>
            <w:tcW w:type="dxa" w:w="1600"/>
            <w:tcMar>
              <w:top w:type="dxa" w:w="80"/>
              <w:left w:type="dxa" w:w="100"/>
              <w:bottom w:type="dxa" w:w="80"/>
              <w:right w:type="dxa" w:w="100"/>
            </w:tcMar>
          </w:tcPr>
          <w:p>
            <w:r>
              <w:rPr>
                <w:b w:val="false"/>
                <w:bCs w:val="false"/>
                <w:color w:val="000000"/>
                <w:sz w:val="18"/>
                <w:szCs w:val="18"/>
              </w:rPr>
              <w:t xml:space="preserve">Reduce to 20%</w:t>
            </w:r>
          </w:p>
        </w:tc>
        <w:tc>
          <w:tcPr>
            <w:tcW w:type="dxa" w:w="1140"/>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KPI14</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Manual touchpoints per campaign</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31 count</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18</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Needs validation</w:t>
            </w:r>
          </w:p>
        </w:tc>
      </w:tr>
      <w:tr>
        <w:tc>
          <w:tcPr>
            <w:tcW w:type="dxa" w:w="800"/>
            <w:tcMar>
              <w:top w:type="dxa" w:w="80"/>
              <w:left w:type="dxa" w:w="100"/>
              <w:bottom w:type="dxa" w:w="80"/>
              <w:right w:type="dxa" w:w="100"/>
            </w:tcMar>
          </w:tcPr>
          <w:p>
            <w:r>
              <w:rPr>
                <w:b w:val="false"/>
                <w:bCs w:val="false"/>
                <w:color w:val="000000"/>
                <w:sz w:val="18"/>
                <w:szCs w:val="18"/>
              </w:rPr>
              <w:t xml:space="preserve">KPI15</w:t>
            </w:r>
          </w:p>
        </w:tc>
        <w:tc>
          <w:tcPr>
            <w:tcW w:type="dxa" w:w="2520"/>
            <w:tcMar>
              <w:top w:type="dxa" w:w="80"/>
              <w:left w:type="dxa" w:w="100"/>
              <w:bottom w:type="dxa" w:w="80"/>
              <w:right w:type="dxa" w:w="100"/>
            </w:tcMar>
          </w:tcPr>
          <w:p>
            <w:r>
              <w:rPr>
                <w:b w:val="false"/>
                <w:bCs w:val="false"/>
                <w:color w:val="000000"/>
                <w:sz w:val="18"/>
                <w:szCs w:val="18"/>
              </w:rPr>
              <w:t xml:space="preserve">Overdue approval steps per campaign</w:t>
            </w:r>
          </w:p>
        </w:tc>
        <w:tc>
          <w:tcPr>
            <w:tcW w:type="dxa" w:w="1500"/>
            <w:tcMar>
              <w:top w:type="dxa" w:w="80"/>
              <w:left w:type="dxa" w:w="100"/>
              <w:bottom w:type="dxa" w:w="80"/>
              <w:right w:type="dxa" w:w="100"/>
            </w:tcMar>
          </w:tcPr>
          <w:p>
            <w:r>
              <w:rPr>
                <w:b w:val="false"/>
                <w:bCs w:val="false"/>
                <w:color w:val="000000"/>
                <w:sz w:val="18"/>
                <w:szCs w:val="18"/>
              </w:rPr>
              <w:t xml:space="preserve">4.6 count</w:t>
            </w:r>
          </w:p>
        </w:tc>
        <w:tc>
          <w:tcPr>
            <w:tcW w:type="dxa" w:w="1600"/>
            <w:tcMar>
              <w:top w:type="dxa" w:w="80"/>
              <w:left w:type="dxa" w:w="100"/>
              <w:bottom w:type="dxa" w:w="80"/>
              <w:right w:type="dxa" w:w="100"/>
            </w:tcMar>
          </w:tcPr>
          <w:p>
            <w:r>
              <w:rPr>
                <w:b w:val="false"/>
                <w:bCs w:val="false"/>
                <w:color w:val="000000"/>
                <w:sz w:val="18"/>
                <w:szCs w:val="18"/>
              </w:rPr>
              <w:t xml:space="preserve">Reduce to 2</w:t>
            </w:r>
          </w:p>
        </w:tc>
        <w:tc>
          <w:tcPr>
            <w:tcW w:type="dxa" w:w="1140"/>
            <w:tcMar>
              <w:top w:type="dxa" w:w="80"/>
              <w:left w:type="dxa" w:w="100"/>
              <w:bottom w:type="dxa" w:w="80"/>
              <w:right w:type="dxa" w:w="100"/>
            </w:tcMar>
          </w:tcPr>
          <w:p>
            <w:r>
              <w:rPr>
                <w:b w:val="false"/>
                <w:bCs w:val="false"/>
                <w:color w:val="000000"/>
                <w:sz w:val="18"/>
                <w:szCs w:val="18"/>
              </w:rPr>
              <w:t xml:space="preserve">Medium</w:t>
            </w:r>
          </w:p>
        </w:tc>
        <w:tc>
          <w:tcPr>
            <w:tcW w:type="dxa" w:w="1800"/>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KPI16</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Campaign status reporting effort</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9.5 hrs/wk</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4</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Needs validation</w:t>
            </w:r>
          </w:p>
        </w:tc>
      </w:tr>
      <w:tr>
        <w:tc>
          <w:tcPr>
            <w:tcW w:type="dxa" w:w="800"/>
            <w:tcMar>
              <w:top w:type="dxa" w:w="80"/>
              <w:left w:type="dxa" w:w="100"/>
              <w:bottom w:type="dxa" w:w="80"/>
              <w:right w:type="dxa" w:w="100"/>
            </w:tcMar>
          </w:tcPr>
          <w:p>
            <w:r>
              <w:rPr>
                <w:b w:val="false"/>
                <w:bCs w:val="false"/>
                <w:color w:val="000000"/>
                <w:sz w:val="18"/>
                <w:szCs w:val="18"/>
              </w:rPr>
              <w:t xml:space="preserve">KPI17</w:t>
            </w:r>
          </w:p>
        </w:tc>
        <w:tc>
          <w:tcPr>
            <w:tcW w:type="dxa" w:w="2520"/>
            <w:tcMar>
              <w:top w:type="dxa" w:w="80"/>
              <w:left w:type="dxa" w:w="100"/>
              <w:bottom w:type="dxa" w:w="80"/>
              <w:right w:type="dxa" w:w="100"/>
            </w:tcMar>
          </w:tcPr>
          <w:p>
            <w:r>
              <w:rPr>
                <w:b w:val="false"/>
                <w:bCs w:val="false"/>
                <w:color w:val="000000"/>
                <w:sz w:val="18"/>
                <w:szCs w:val="18"/>
              </w:rPr>
              <w:t xml:space="preserve">Assets with complete metadata</w:t>
            </w:r>
          </w:p>
        </w:tc>
        <w:tc>
          <w:tcPr>
            <w:tcW w:type="dxa" w:w="1500"/>
            <w:tcMar>
              <w:top w:type="dxa" w:w="80"/>
              <w:left w:type="dxa" w:w="100"/>
              <w:bottom w:type="dxa" w:w="80"/>
              <w:right w:type="dxa" w:w="100"/>
            </w:tcMar>
          </w:tcPr>
          <w:p>
            <w:r>
              <w:rPr>
                <w:b w:val="false"/>
                <w:bCs w:val="false"/>
                <w:color w:val="000000"/>
                <w:sz w:val="18"/>
                <w:szCs w:val="18"/>
              </w:rPr>
              <w:t xml:space="preserve">46%</w:t>
            </w:r>
          </w:p>
        </w:tc>
        <w:tc>
          <w:tcPr>
            <w:tcW w:type="dxa" w:w="1600"/>
            <w:tcMar>
              <w:top w:type="dxa" w:w="80"/>
              <w:left w:type="dxa" w:w="100"/>
              <w:bottom w:type="dxa" w:w="80"/>
              <w:right w:type="dxa" w:w="100"/>
            </w:tcMar>
          </w:tcPr>
          <w:p>
            <w:r>
              <w:rPr>
                <w:b w:val="false"/>
                <w:bCs w:val="false"/>
                <w:color w:val="000000"/>
                <w:sz w:val="18"/>
                <w:szCs w:val="18"/>
              </w:rPr>
              <w:t xml:space="preserve">Increase to 80%</w:t>
            </w:r>
          </w:p>
        </w:tc>
        <w:tc>
          <w:tcPr>
            <w:tcW w:type="dxa" w:w="1140"/>
            <w:tcMar>
              <w:top w:type="dxa" w:w="80"/>
              <w:left w:type="dxa" w:w="100"/>
              <w:bottom w:type="dxa" w:w="80"/>
              <w:right w:type="dxa" w:w="100"/>
            </w:tcMar>
          </w:tcPr>
          <w:p>
            <w:r>
              <w:rPr>
                <w:b w:val="false"/>
                <w:bCs w:val="false"/>
                <w:color w:val="000000"/>
                <w:sz w:val="18"/>
                <w:szCs w:val="18"/>
              </w:rPr>
              <w:t xml:space="preserve">High</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KPI18</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Content reuse rate</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22%</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Increase to 40%</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KPI19</w:t>
            </w:r>
          </w:p>
        </w:tc>
        <w:tc>
          <w:tcPr>
            <w:tcW w:type="dxa" w:w="2520"/>
            <w:tcMar>
              <w:top w:type="dxa" w:w="80"/>
              <w:left w:type="dxa" w:w="100"/>
              <w:bottom w:type="dxa" w:w="80"/>
              <w:right w:type="dxa" w:w="100"/>
            </w:tcMar>
          </w:tcPr>
          <w:p>
            <w:r>
              <w:rPr>
                <w:b w:val="false"/>
                <w:bCs w:val="false"/>
                <w:color w:val="000000"/>
                <w:sz w:val="18"/>
                <w:szCs w:val="18"/>
              </w:rPr>
              <w:t xml:space="preserve">Measurement framework coverage</w:t>
            </w:r>
          </w:p>
        </w:tc>
        <w:tc>
          <w:tcPr>
            <w:tcW w:type="dxa" w:w="1500"/>
            <w:tcMar>
              <w:top w:type="dxa" w:w="80"/>
              <w:left w:type="dxa" w:w="100"/>
              <w:bottom w:type="dxa" w:w="80"/>
              <w:right w:type="dxa" w:w="100"/>
            </w:tcMar>
          </w:tcPr>
          <w:p>
            <w:r>
              <w:rPr>
                <w:b w:val="false"/>
                <w:bCs w:val="false"/>
                <w:color w:val="000000"/>
                <w:sz w:val="18"/>
                <w:szCs w:val="18"/>
              </w:rPr>
              <w:t xml:space="preserve">35%</w:t>
            </w:r>
          </w:p>
        </w:tc>
        <w:tc>
          <w:tcPr>
            <w:tcW w:type="dxa" w:w="1600"/>
            <w:tcMar>
              <w:top w:type="dxa" w:w="80"/>
              <w:left w:type="dxa" w:w="100"/>
              <w:bottom w:type="dxa" w:w="80"/>
              <w:right w:type="dxa" w:w="100"/>
            </w:tcMar>
          </w:tcPr>
          <w:p>
            <w:r>
              <w:rPr>
                <w:b w:val="false"/>
                <w:bCs w:val="false"/>
                <w:color w:val="000000"/>
                <w:sz w:val="18"/>
                <w:szCs w:val="18"/>
              </w:rPr>
              <w:t xml:space="preserve">Increase to 90%</w:t>
            </w:r>
          </w:p>
        </w:tc>
        <w:tc>
          <w:tcPr>
            <w:tcW w:type="dxa" w:w="1140"/>
            <w:tcMar>
              <w:top w:type="dxa" w:w="80"/>
              <w:left w:type="dxa" w:w="100"/>
              <w:bottom w:type="dxa" w:w="80"/>
              <w:right w:type="dxa" w:w="100"/>
            </w:tcMar>
          </w:tcPr>
          <w:p>
            <w:r>
              <w:rPr>
                <w:b w:val="false"/>
                <w:bCs w:val="false"/>
                <w:color w:val="000000"/>
                <w:sz w:val="18"/>
                <w:szCs w:val="18"/>
              </w:rPr>
              <w:t xml:space="preserve">Medium</w:t>
            </w:r>
          </w:p>
        </w:tc>
        <w:tc>
          <w:tcPr>
            <w:tcW w:type="dxa" w:w="1800"/>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KPI20</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Teams with named AI workflow champion</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2 of 6</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Increase to 6</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Validated</w:t>
            </w:r>
          </w:p>
        </w:tc>
      </w:tr>
      <w:tr>
        <w:tc>
          <w:tcPr>
            <w:tcW w:type="dxa" w:w="800"/>
            <w:tcMar>
              <w:top w:type="dxa" w:w="80"/>
              <w:left w:type="dxa" w:w="100"/>
              <w:bottom w:type="dxa" w:w="80"/>
              <w:right w:type="dxa" w:w="100"/>
            </w:tcMar>
          </w:tcPr>
          <w:p>
            <w:r>
              <w:rPr>
                <w:b w:val="false"/>
                <w:bCs w:val="false"/>
                <w:color w:val="000000"/>
                <w:sz w:val="18"/>
                <w:szCs w:val="18"/>
              </w:rPr>
              <w:t xml:space="preserve">KPI21</w:t>
            </w:r>
          </w:p>
        </w:tc>
        <w:tc>
          <w:tcPr>
            <w:tcW w:type="dxa" w:w="2520"/>
            <w:tcMar>
              <w:top w:type="dxa" w:w="80"/>
              <w:left w:type="dxa" w:w="100"/>
              <w:bottom w:type="dxa" w:w="80"/>
              <w:right w:type="dxa" w:w="100"/>
            </w:tcMar>
          </w:tcPr>
          <w:p>
            <w:r>
              <w:rPr>
                <w:b w:val="false"/>
                <w:bCs w:val="false"/>
                <w:color w:val="000000"/>
                <w:sz w:val="18"/>
                <w:szCs w:val="18"/>
              </w:rPr>
              <w:t xml:space="preserve">Documented AI use-case guardrails</w:t>
            </w:r>
          </w:p>
        </w:tc>
        <w:tc>
          <w:tcPr>
            <w:tcW w:type="dxa" w:w="1500"/>
            <w:tcMar>
              <w:top w:type="dxa" w:w="80"/>
              <w:left w:type="dxa" w:w="100"/>
              <w:bottom w:type="dxa" w:w="80"/>
              <w:right w:type="dxa" w:w="100"/>
            </w:tcMar>
          </w:tcPr>
          <w:p>
            <w:r>
              <w:rPr>
                <w:b w:val="false"/>
                <w:bCs w:val="false"/>
                <w:color w:val="000000"/>
                <w:sz w:val="18"/>
                <w:szCs w:val="18"/>
              </w:rPr>
              <w:t xml:space="preserve">1 count</w:t>
            </w:r>
          </w:p>
        </w:tc>
        <w:tc>
          <w:tcPr>
            <w:tcW w:type="dxa" w:w="1600"/>
            <w:tcMar>
              <w:top w:type="dxa" w:w="80"/>
              <w:left w:type="dxa" w:w="100"/>
              <w:bottom w:type="dxa" w:w="80"/>
              <w:right w:type="dxa" w:w="100"/>
            </w:tcMar>
          </w:tcPr>
          <w:p>
            <w:r>
              <w:rPr>
                <w:b w:val="false"/>
                <w:bCs w:val="false"/>
                <w:color w:val="000000"/>
                <w:sz w:val="18"/>
                <w:szCs w:val="18"/>
              </w:rPr>
              <w:t xml:space="preserve">Increase to 6</w:t>
            </w:r>
          </w:p>
        </w:tc>
        <w:tc>
          <w:tcPr>
            <w:tcW w:type="dxa" w:w="1140"/>
            <w:tcMar>
              <w:top w:type="dxa" w:w="80"/>
              <w:left w:type="dxa" w:w="100"/>
              <w:bottom w:type="dxa" w:w="80"/>
              <w:right w:type="dxa" w:w="100"/>
            </w:tcMar>
          </w:tcPr>
          <w:p>
            <w:r>
              <w:rPr>
                <w:b w:val="false"/>
                <w:bCs w:val="false"/>
                <w:color w:val="000000"/>
                <w:sz w:val="18"/>
                <w:szCs w:val="18"/>
              </w:rPr>
              <w:t xml:space="preserve">Medium</w:t>
            </w:r>
          </w:p>
        </w:tc>
        <w:tc>
          <w:tcPr>
            <w:tcW w:type="dxa" w:w="1800"/>
            <w:tcMar>
              <w:top w:type="dxa" w:w="80"/>
              <w:left w:type="dxa" w:w="100"/>
              <w:bottom w:type="dxa" w:w="80"/>
              <w:right w:type="dxa" w:w="100"/>
            </w:tcMar>
          </w:tcPr>
          <w:p>
            <w:r>
              <w:rPr>
                <w:b w:val="false"/>
                <w:bCs w:val="false"/>
                <w:color w:val="000000"/>
                <w:sz w:val="18"/>
                <w:szCs w:val="18"/>
              </w:rPr>
              <w:t xml:space="preserve">Needs validation</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KPI22</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AI-assisted workflows in controlled pilot</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0 count</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Increase to 4</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Validated</w:t>
            </w:r>
          </w:p>
        </w:tc>
      </w:tr>
      <w:tr>
        <w:tc>
          <w:tcPr>
            <w:tcW w:type="dxa" w:w="800"/>
            <w:tcMar>
              <w:top w:type="dxa" w:w="80"/>
              <w:left w:type="dxa" w:w="100"/>
              <w:bottom w:type="dxa" w:w="80"/>
              <w:right w:type="dxa" w:w="100"/>
            </w:tcMar>
          </w:tcPr>
          <w:p>
            <w:r>
              <w:rPr>
                <w:b w:val="false"/>
                <w:bCs w:val="false"/>
                <w:color w:val="000000"/>
                <w:sz w:val="18"/>
                <w:szCs w:val="18"/>
              </w:rPr>
              <w:t xml:space="preserve">KPI23</w:t>
            </w:r>
          </w:p>
        </w:tc>
        <w:tc>
          <w:tcPr>
            <w:tcW w:type="dxa" w:w="2520"/>
            <w:tcMar>
              <w:top w:type="dxa" w:w="80"/>
              <w:left w:type="dxa" w:w="100"/>
              <w:bottom w:type="dxa" w:w="80"/>
              <w:right w:type="dxa" w:w="100"/>
            </w:tcMar>
          </w:tcPr>
          <w:p>
            <w:r>
              <w:rPr>
                <w:b w:val="false"/>
                <w:bCs w:val="false"/>
                <w:color w:val="000000"/>
                <w:sz w:val="18"/>
                <w:szCs w:val="18"/>
              </w:rPr>
              <w:t xml:space="preserve">Addressable savings opportunity</w:t>
            </w:r>
          </w:p>
        </w:tc>
        <w:tc>
          <w:tcPr>
            <w:tcW w:type="dxa" w:w="1500"/>
            <w:tcMar>
              <w:top w:type="dxa" w:w="80"/>
              <w:left w:type="dxa" w:w="100"/>
              <w:bottom w:type="dxa" w:w="80"/>
              <w:right w:type="dxa" w:w="100"/>
            </w:tcMar>
          </w:tcPr>
          <w:p>
            <w:r>
              <w:rPr>
                <w:b w:val="false"/>
                <w:bCs w:val="false"/>
                <w:color w:val="000000"/>
                <w:sz w:val="18"/>
                <w:szCs w:val="18"/>
              </w:rPr>
              <w:t xml:space="preserve">2.3 GBPm/yr</w:t>
            </w:r>
          </w:p>
        </w:tc>
        <w:tc>
          <w:tcPr>
            <w:tcW w:type="dxa" w:w="1600"/>
            <w:tcMar>
              <w:top w:type="dxa" w:w="80"/>
              <w:left w:type="dxa" w:w="100"/>
              <w:bottom w:type="dxa" w:w="80"/>
              <w:right w:type="dxa" w:w="100"/>
            </w:tcMar>
          </w:tcPr>
          <w:p>
            <w:r>
              <w:rPr>
                <w:b w:val="false"/>
                <w:bCs w:val="false"/>
                <w:color w:val="000000"/>
                <w:sz w:val="18"/>
                <w:szCs w:val="18"/>
              </w:rPr>
              <w:t xml:space="preserve">Realise 1.2</w:t>
            </w:r>
          </w:p>
        </w:tc>
        <w:tc>
          <w:tcPr>
            <w:tcW w:type="dxa" w:w="1140"/>
            <w:tcMar>
              <w:top w:type="dxa" w:w="80"/>
              <w:left w:type="dxa" w:w="100"/>
              <w:bottom w:type="dxa" w:w="80"/>
              <w:right w:type="dxa" w:w="100"/>
            </w:tcMar>
          </w:tcPr>
          <w:p>
            <w:r>
              <w:rPr>
                <w:b w:val="false"/>
                <w:bCs w:val="false"/>
                <w:color w:val="000000"/>
                <w:sz w:val="18"/>
                <w:szCs w:val="18"/>
              </w:rPr>
              <w:t xml:space="preserve">Low</w:t>
            </w:r>
          </w:p>
        </w:tc>
        <w:tc>
          <w:tcPr>
            <w:tcW w:type="dxa" w:w="1800"/>
            <w:tcMar>
              <w:top w:type="dxa" w:w="80"/>
              <w:left w:type="dxa" w:w="100"/>
              <w:bottom w:type="dxa" w:w="80"/>
              <w:right w:type="dxa" w:w="100"/>
            </w:tcMar>
          </w:tcPr>
          <w:p>
            <w:r>
              <w:rPr>
                <w:b w:val="false"/>
                <w:bCs w:val="false"/>
                <w:color w:val="000000"/>
                <w:sz w:val="18"/>
                <w:szCs w:val="18"/>
              </w:rPr>
              <w:t xml:space="preserve">Needs validation</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KPI24</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Tool/licence duplication estimate</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0.65 GBPm/yr</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Reduce to 0.25</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tcMar>
              <w:top w:type="dxa" w:w="80"/>
              <w:left w:type="dxa" w:w="100"/>
              <w:bottom w:type="dxa" w:w="80"/>
              <w:right w:type="dxa" w:w="100"/>
            </w:tcMar>
          </w:tcPr>
          <w:p>
            <w:r>
              <w:rPr>
                <w:b w:val="false"/>
                <w:bCs w:val="false"/>
                <w:color w:val="000000"/>
                <w:sz w:val="18"/>
                <w:szCs w:val="18"/>
              </w:rPr>
              <w:t xml:space="preserve">KPI25</w:t>
            </w:r>
          </w:p>
        </w:tc>
        <w:tc>
          <w:tcPr>
            <w:tcW w:type="dxa" w:w="2520"/>
            <w:tcMar>
              <w:top w:type="dxa" w:w="80"/>
              <w:left w:type="dxa" w:w="100"/>
              <w:bottom w:type="dxa" w:w="80"/>
              <w:right w:type="dxa" w:w="100"/>
            </w:tcMar>
          </w:tcPr>
          <w:p>
            <w:r>
              <w:rPr>
                <w:b w:val="false"/>
                <w:bCs w:val="false"/>
                <w:color w:val="000000"/>
                <w:sz w:val="18"/>
                <w:szCs w:val="18"/>
              </w:rPr>
              <w:t xml:space="preserve">Creator content throughput</w:t>
            </w:r>
          </w:p>
        </w:tc>
        <w:tc>
          <w:tcPr>
            <w:tcW w:type="dxa" w:w="1500"/>
            <w:tcMar>
              <w:top w:type="dxa" w:w="80"/>
              <w:left w:type="dxa" w:w="100"/>
              <w:bottom w:type="dxa" w:w="80"/>
              <w:right w:type="dxa" w:w="100"/>
            </w:tcMar>
          </w:tcPr>
          <w:p>
            <w:r>
              <w:rPr>
                <w:b w:val="false"/>
                <w:bCs w:val="false"/>
                <w:color w:val="000000"/>
                <w:sz w:val="18"/>
                <w:szCs w:val="18"/>
              </w:rPr>
              <w:t xml:space="preserve">110 assets/mo</w:t>
            </w:r>
          </w:p>
        </w:tc>
        <w:tc>
          <w:tcPr>
            <w:tcW w:type="dxa" w:w="1600"/>
            <w:tcMar>
              <w:top w:type="dxa" w:w="80"/>
              <w:left w:type="dxa" w:w="100"/>
              <w:bottom w:type="dxa" w:w="80"/>
              <w:right w:type="dxa" w:w="100"/>
            </w:tcMar>
          </w:tcPr>
          <w:p>
            <w:r>
              <w:rPr>
                <w:b w:val="false"/>
                <w:bCs w:val="false"/>
                <w:color w:val="000000"/>
                <w:sz w:val="18"/>
                <w:szCs w:val="18"/>
              </w:rPr>
              <w:t xml:space="preserve">Increase to 180</w:t>
            </w:r>
          </w:p>
        </w:tc>
        <w:tc>
          <w:tcPr>
            <w:tcW w:type="dxa" w:w="1140"/>
            <w:tcMar>
              <w:top w:type="dxa" w:w="80"/>
              <w:left w:type="dxa" w:w="100"/>
              <w:bottom w:type="dxa" w:w="80"/>
              <w:right w:type="dxa" w:w="100"/>
            </w:tcMar>
          </w:tcPr>
          <w:p>
            <w:r>
              <w:rPr>
                <w:b w:val="false"/>
                <w:bCs w:val="false"/>
                <w:color w:val="000000"/>
                <w:sz w:val="18"/>
                <w:szCs w:val="18"/>
              </w:rPr>
              <w:t xml:space="preserve">Medium</w:t>
            </w:r>
          </w:p>
        </w:tc>
        <w:tc>
          <w:tcPr>
            <w:tcW w:type="dxa" w:w="1800"/>
            <w:tcMar>
              <w:top w:type="dxa" w:w="80"/>
              <w:left w:type="dxa" w:w="100"/>
              <w:bottom w:type="dxa" w:w="80"/>
              <w:right w:type="dxa" w:w="100"/>
            </w:tcMar>
          </w:tcPr>
          <w:p>
            <w:r>
              <w:rPr>
                <w:b w:val="false"/>
                <w:bCs w:val="false"/>
                <w:color w:val="000000"/>
                <w:sz w:val="18"/>
                <w:szCs w:val="18"/>
              </w:rPr>
              <w:t xml:space="preserve">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KPI26</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Retailer.com refresh SLA achievement</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62%</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Increase to 85%</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Validated</w:t>
            </w:r>
          </w:p>
        </w:tc>
      </w:tr>
      <w:tr>
        <w:tc>
          <w:tcPr>
            <w:tcW w:type="dxa" w:w="800"/>
            <w:tcMar>
              <w:top w:type="dxa" w:w="80"/>
              <w:left w:type="dxa" w:w="100"/>
              <w:bottom w:type="dxa" w:w="80"/>
              <w:right w:type="dxa" w:w="100"/>
            </w:tcMar>
          </w:tcPr>
          <w:p>
            <w:r>
              <w:rPr>
                <w:b w:val="false"/>
                <w:bCs w:val="false"/>
                <w:color w:val="000000"/>
                <w:sz w:val="18"/>
                <w:szCs w:val="18"/>
              </w:rPr>
              <w:t xml:space="preserve">KPI27</w:t>
            </w:r>
          </w:p>
        </w:tc>
        <w:tc>
          <w:tcPr>
            <w:tcW w:type="dxa" w:w="2520"/>
            <w:tcMar>
              <w:top w:type="dxa" w:w="80"/>
              <w:left w:type="dxa" w:w="100"/>
              <w:bottom w:type="dxa" w:w="80"/>
              <w:right w:type="dxa" w:w="100"/>
            </w:tcMar>
          </w:tcPr>
          <w:p>
            <w:r>
              <w:rPr>
                <w:b w:val="false"/>
                <w:bCs w:val="false"/>
                <w:color w:val="000000"/>
                <w:sz w:val="18"/>
                <w:szCs w:val="18"/>
              </w:rPr>
              <w:t xml:space="preserve">Claims/compliance escalation rate</w:t>
            </w:r>
          </w:p>
        </w:tc>
        <w:tc>
          <w:tcPr>
            <w:tcW w:type="dxa" w:w="1500"/>
            <w:tcMar>
              <w:top w:type="dxa" w:w="80"/>
              <w:left w:type="dxa" w:w="100"/>
              <w:bottom w:type="dxa" w:w="80"/>
              <w:right w:type="dxa" w:w="100"/>
            </w:tcMar>
          </w:tcPr>
          <w:p>
            <w:r>
              <w:rPr>
                <w:b w:val="false"/>
                <w:bCs w:val="false"/>
                <w:color w:val="000000"/>
                <w:sz w:val="18"/>
                <w:szCs w:val="18"/>
              </w:rPr>
              <w:t xml:space="preserve">11% campaigns</w:t>
            </w:r>
          </w:p>
        </w:tc>
        <w:tc>
          <w:tcPr>
            <w:tcW w:type="dxa" w:w="1600"/>
            <w:tcMar>
              <w:top w:type="dxa" w:w="80"/>
              <w:left w:type="dxa" w:w="100"/>
              <w:bottom w:type="dxa" w:w="80"/>
              <w:right w:type="dxa" w:w="100"/>
            </w:tcMar>
          </w:tcPr>
          <w:p>
            <w:r>
              <w:rPr>
                <w:b w:val="false"/>
                <w:bCs w:val="false"/>
                <w:color w:val="000000"/>
                <w:sz w:val="18"/>
                <w:szCs w:val="18"/>
              </w:rPr>
              <w:t xml:space="preserve">Reduce to 6%</w:t>
            </w:r>
          </w:p>
        </w:tc>
        <w:tc>
          <w:tcPr>
            <w:tcW w:type="dxa" w:w="1140"/>
            <w:tcMar>
              <w:top w:type="dxa" w:w="80"/>
              <w:left w:type="dxa" w:w="100"/>
              <w:bottom w:type="dxa" w:w="80"/>
              <w:right w:type="dxa" w:w="100"/>
            </w:tcMar>
          </w:tcPr>
          <w:p>
            <w:r>
              <w:rPr>
                <w:b w:val="false"/>
                <w:bCs w:val="false"/>
                <w:color w:val="000000"/>
                <w:sz w:val="18"/>
                <w:szCs w:val="18"/>
              </w:rPr>
              <w:t xml:space="preserve">Medium</w:t>
            </w:r>
          </w:p>
        </w:tc>
        <w:tc>
          <w:tcPr>
            <w:tcW w:type="dxa" w:w="1800"/>
            <w:tcMar>
              <w:top w:type="dxa" w:w="80"/>
              <w:left w:type="dxa" w:w="100"/>
              <w:bottom w:type="dxa" w:w="80"/>
              <w:right w:type="dxa" w:w="100"/>
            </w:tcMar>
          </w:tcPr>
          <w:p>
            <w:r>
              <w:rPr>
                <w:b w:val="false"/>
                <w:bCs w:val="false"/>
                <w:color w:val="000000"/>
                <w:sz w:val="18"/>
                <w:szCs w:val="18"/>
              </w:rPr>
              <w:t xml:space="preserve">Partially validated</w:t>
            </w:r>
          </w:p>
        </w:tc>
      </w:tr>
      <w:tr>
        <w:tc>
          <w:tcPr>
            <w:tcW w:type="dxa" w:w="800"/>
            <w:shd w:fill="F5F5F0" w:val="clear"/>
            <w:tcMar>
              <w:top w:type="dxa" w:w="80"/>
              <w:left w:type="dxa" w:w="100"/>
              <w:bottom w:type="dxa" w:w="80"/>
              <w:right w:type="dxa" w:w="100"/>
            </w:tcMar>
          </w:tcPr>
          <w:p>
            <w:r>
              <w:rPr>
                <w:b w:val="false"/>
                <w:bCs w:val="false"/>
                <w:color w:val="000000"/>
                <w:sz w:val="18"/>
                <w:szCs w:val="18"/>
              </w:rPr>
              <w:t xml:space="preserve">KPI28</w:t>
            </w:r>
          </w:p>
        </w:tc>
        <w:tc>
          <w:tcPr>
            <w:tcW w:type="dxa" w:w="2520"/>
            <w:shd w:fill="F5F5F0" w:val="clear"/>
            <w:tcMar>
              <w:top w:type="dxa" w:w="80"/>
              <w:left w:type="dxa" w:w="100"/>
              <w:bottom w:type="dxa" w:w="80"/>
              <w:right w:type="dxa" w:w="100"/>
            </w:tcMar>
          </w:tcPr>
          <w:p>
            <w:r>
              <w:rPr>
                <w:b w:val="false"/>
                <w:bCs w:val="false"/>
                <w:color w:val="000000"/>
                <w:sz w:val="18"/>
                <w:szCs w:val="18"/>
              </w:rPr>
              <w:t xml:space="preserve">Stakeholder satisfaction, process visibility</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5.8 /10</w:t>
            </w:r>
          </w:p>
        </w:tc>
        <w:tc>
          <w:tcPr>
            <w:tcW w:type="dxa" w:w="1600"/>
            <w:shd w:fill="F5F5F0" w:val="clear"/>
            <w:tcMar>
              <w:top w:type="dxa" w:w="80"/>
              <w:left w:type="dxa" w:w="100"/>
              <w:bottom w:type="dxa" w:w="80"/>
              <w:right w:type="dxa" w:w="100"/>
            </w:tcMar>
          </w:tcPr>
          <w:p>
            <w:r>
              <w:rPr>
                <w:b w:val="false"/>
                <w:bCs w:val="false"/>
                <w:color w:val="000000"/>
                <w:sz w:val="18"/>
                <w:szCs w:val="18"/>
              </w:rPr>
              <w:t xml:space="preserve">Increase to 8</w:t>
            </w:r>
          </w:p>
        </w:tc>
        <w:tc>
          <w:tcPr>
            <w:tcW w:type="dxa" w:w="114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800"/>
            <w:shd w:fill="F5F5F0" w:val="clear"/>
            <w:tcMar>
              <w:top w:type="dxa" w:w="80"/>
              <w:left w:type="dxa" w:w="100"/>
              <w:bottom w:type="dxa" w:w="80"/>
              <w:right w:type="dxa" w:w="100"/>
            </w:tcMar>
          </w:tcPr>
          <w:p>
            <w:r>
              <w:rPr>
                <w:b w:val="false"/>
                <w:bCs w:val="false"/>
                <w:color w:val="000000"/>
                <w:sz w:val="18"/>
                <w:szCs w:val="18"/>
              </w:rPr>
              <w:t xml:space="preserve">Validated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8B2E" w:sz="4"/>
              <w:left w:val="single" w:color="B98B2E" w:sz="4"/>
              <w:bottom w:val="single" w:color="B98B2E" w:sz="4"/>
              <w:right w:val="single" w:color="B98B2E" w:sz="4"/>
            </w:tcBorders>
            <w:shd w:fill="FCF3DF" w:val="clear"/>
            <w:tcMar>
              <w:top w:type="dxa" w:w="160"/>
              <w:left w:type="dxa" w:w="220"/>
              <w:bottom w:type="dxa" w:w="160"/>
              <w:right w:type="dxa" w:w="220"/>
            </w:tcMar>
          </w:tcPr>
          <w:p>
            <w:pPr>
              <w:spacing w:after="100"/>
            </w:pPr>
            <w:r>
              <w:rPr>
                <w:b/>
                <w:bCs/>
                <w:sz w:val="20"/>
                <w:szCs w:val="20"/>
              </w:rPr>
              <w:t xml:space="preserve">Our recommendation</w:t>
            </w:r>
          </w:p>
          <w:p>
            <w:pPr>
              <w:pStyle w:val="ListParagraph"/>
              <w:numPr>
                <w:ilvl w:val="0"/>
                <w:numId w:val="1"/>
              </w:numPr>
              <w:spacing w:after="60"/>
            </w:pPr>
            <w:r>
              <w:t xml:space="preserve">Anchor the leadership conversation on the 12 validated KPIs. That is a real, defensible baseline this room can act on today.</w:t>
            </w:r>
          </w:p>
          <w:p>
            <w:pPr>
              <w:pStyle w:val="ListParagraph"/>
              <w:numPr>
                <w:ilvl w:val="0"/>
                <w:numId w:val="1"/>
              </w:numPr>
              <w:spacing w:after="60"/>
            </w:pPr>
            <w:r>
              <w:t xml:space="preserve">Name the 5 needing validation explicitly rather than folding them into the general narrative: KPI03 (untracked spend), KPI14 (manual touchpoints), KPI16 (reporting effort), KPI21 (AI guardrails), KPI23 (addressable savings). Presenting all 28 at equal confidence is the fastest way to lose credibility with a finance-literate audience.</w:t>
            </w:r>
          </w:p>
          <w:p>
            <w:pPr>
              <w:pStyle w:val="ListParagraph"/>
              <w:numPr>
                <w:ilvl w:val="0"/>
                <w:numId w:val="1"/>
              </w:numPr>
              <w:spacing w:after="60"/>
            </w:pPr>
            <w:r>
              <w:t xml:space="preserve">KPI02's own suggested target, an 18.7 to 16.8 GBPm reduction, is roughly a 10.2% cut. That sits inside the McKinsey 5-15% AI-productivity benchmark band. Unlike a stretch target invented for the leadership deck, this one is already benchmark-consistent. Say so. It buys credibility for the rest of the case.</w:t>
            </w:r>
          </w:p>
        </w:tc>
      </w:tr>
    </w:tbl>
    <w:p>
      <w:pPr>
        <w:pStyle w:val="Heading1"/>
        <w:spacing w:after="160" w:before="360"/>
      </w:pPr>
      <w:r>
        <w:t xml:space="preserve">5. Technology Role Validation</w:t>
      </w:r>
    </w:p>
    <w:p>
      <w:pPr>
        <w:spacing w:after="160"/>
      </w:pPr>
      <w:r>
        <w:rPr>
          <w:b w:val="false"/>
          <w:bCs w:val="false"/>
          <w:i w:val="false"/>
          <w:iCs w:val="false"/>
          <w:sz w:val="21"/>
          <w:szCs w:val="21"/>
        </w:rPr>
        <w:t xml:space="preserve">18 tools are in the current stack. 7 are fully validated. The rest sit across Partially validated or Needs validation. This is a dependency map for operating-model design, not a confirmed stack recommendation. Full detail (category, cost, usage) is in Appendix B, this table carries only status and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2200"/>
        <w:gridCol w:w="3800"/>
      </w:tblGrid>
      <w:tr>
        <w:trPr>
          <w:tblHeader/>
        </w:trPr>
        <w:tc>
          <w:tcPr>
            <w:tcW w:type="dxa" w:w="700"/>
            <w:shd w:fill="1F2937" w:val="clear"/>
            <w:tcMar>
              <w:top w:type="dxa" w:w="80"/>
              <w:left w:type="dxa" w:w="100"/>
              <w:bottom w:type="dxa" w:w="80"/>
              <w:right w:type="dxa" w:w="100"/>
            </w:tcMar>
          </w:tcPr>
          <w:p>
            <w:r>
              <w:rPr>
                <w:b/>
                <w:bCs/>
                <w:color w:val="FFFFFF"/>
                <w:sz w:val="18"/>
                <w:szCs w:val="18"/>
              </w:rPr>
              <w:t xml:space="preserve">ID</w:t>
            </w:r>
          </w:p>
        </w:tc>
        <w:tc>
          <w:tcPr>
            <w:tcW w:type="dxa" w:w="2660"/>
            <w:shd w:fill="1F2937" w:val="clear"/>
            <w:tcMar>
              <w:top w:type="dxa" w:w="80"/>
              <w:left w:type="dxa" w:w="100"/>
              <w:bottom w:type="dxa" w:w="80"/>
              <w:right w:type="dxa" w:w="100"/>
            </w:tcMar>
          </w:tcPr>
          <w:p>
            <w:r>
              <w:rPr>
                <w:b/>
                <w:bCs/>
                <w:color w:val="FFFFFF"/>
                <w:sz w:val="18"/>
                <w:szCs w:val="18"/>
              </w:rPr>
              <w:t xml:space="preserve">Tool</w:t>
            </w:r>
          </w:p>
        </w:tc>
        <w:tc>
          <w:tcPr>
            <w:tcW w:type="dxa" w:w="2200"/>
            <w:shd w:fill="1F2937" w:val="clear"/>
            <w:tcMar>
              <w:top w:type="dxa" w:w="80"/>
              <w:left w:type="dxa" w:w="100"/>
              <w:bottom w:type="dxa" w:w="80"/>
              <w:right w:type="dxa" w:w="100"/>
            </w:tcMar>
          </w:tcPr>
          <w:p>
            <w:r>
              <w:rPr>
                <w:b/>
                <w:bCs/>
                <w:color w:val="FFFFFF"/>
                <w:sz w:val="18"/>
                <w:szCs w:val="18"/>
              </w:rPr>
              <w:t xml:space="preserve">Status</w:t>
            </w:r>
          </w:p>
        </w:tc>
        <w:tc>
          <w:tcPr>
            <w:tcW w:type="dxa" w:w="3800"/>
            <w:shd w:fill="1F2937" w:val="clear"/>
            <w:tcMar>
              <w:top w:type="dxa" w:w="80"/>
              <w:left w:type="dxa" w:w="100"/>
              <w:bottom w:type="dxa" w:w="80"/>
              <w:right w:type="dxa" w:w="100"/>
            </w:tcMar>
          </w:tcPr>
          <w:p>
            <w:r>
              <w:rPr>
                <w:b/>
                <w:bCs/>
                <w:color w:val="FFFFFF"/>
                <w:sz w:val="18"/>
                <w:szCs w:val="18"/>
              </w:rPr>
              <w:t xml:space="preserve">Recommendation</w:t>
            </w:r>
          </w:p>
        </w:tc>
      </w:tr>
      <w:tr>
        <w:tc>
          <w:tcPr>
            <w:tcW w:type="dxa" w:w="700"/>
            <w:tcMar>
              <w:top w:type="dxa" w:w="80"/>
              <w:left w:type="dxa" w:w="100"/>
              <w:bottom w:type="dxa" w:w="80"/>
              <w:right w:type="dxa" w:w="100"/>
            </w:tcMar>
          </w:tcPr>
          <w:p>
            <w:r>
              <w:rPr>
                <w:b w:val="false"/>
                <w:bCs w:val="false"/>
                <w:color w:val="000000"/>
                <w:sz w:val="18"/>
                <w:szCs w:val="18"/>
              </w:rPr>
              <w:t xml:space="preserve">T01</w:t>
            </w:r>
          </w:p>
        </w:tc>
        <w:tc>
          <w:tcPr>
            <w:tcW w:type="dxa" w:w="2660"/>
            <w:tcMar>
              <w:top w:type="dxa" w:w="80"/>
              <w:left w:type="dxa" w:w="100"/>
              <w:bottom w:type="dxa" w:w="80"/>
              <w:right w:type="dxa" w:w="100"/>
            </w:tcMar>
          </w:tcPr>
          <w:p>
            <w:r>
              <w:rPr>
                <w:b w:val="false"/>
                <w:bCs w:val="false"/>
                <w:color w:val="000000"/>
                <w:sz w:val="18"/>
                <w:szCs w:val="18"/>
              </w:rPr>
              <w:t xml:space="preserve">Nexa Control Room</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3800"/>
            <w:tcMar>
              <w:top w:type="dxa" w:w="80"/>
              <w:left w:type="dxa" w:w="100"/>
              <w:bottom w:type="dxa" w:w="80"/>
              <w:right w:type="dxa" w:w="100"/>
            </w:tcMar>
          </w:tcPr>
          <w:p>
            <w:r>
              <w:rPr>
                <w:b w:val="false"/>
                <w:bCs w:val="false"/>
                <w:color w:val="000000"/>
                <w:sz w:val="18"/>
                <w:szCs w:val="18"/>
              </w:rPr>
              <w:t xml:space="preserve">Keep and extend</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T02</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FlowGrid Orchestration</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Validated</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Keep</w:t>
            </w:r>
          </w:p>
        </w:tc>
      </w:tr>
      <w:tr>
        <w:tc>
          <w:tcPr>
            <w:tcW w:type="dxa" w:w="700"/>
            <w:tcMar>
              <w:top w:type="dxa" w:w="80"/>
              <w:left w:type="dxa" w:w="100"/>
              <w:bottom w:type="dxa" w:w="80"/>
              <w:right w:type="dxa" w:w="100"/>
            </w:tcMar>
          </w:tcPr>
          <w:p>
            <w:r>
              <w:rPr>
                <w:b w:val="false"/>
                <w:bCs w:val="false"/>
                <w:color w:val="000000"/>
                <w:sz w:val="18"/>
                <w:szCs w:val="18"/>
              </w:rPr>
              <w:t xml:space="preserve">T03</w:t>
            </w:r>
          </w:p>
        </w:tc>
        <w:tc>
          <w:tcPr>
            <w:tcW w:type="dxa" w:w="2660"/>
            <w:tcMar>
              <w:top w:type="dxa" w:w="80"/>
              <w:left w:type="dxa" w:w="100"/>
              <w:bottom w:type="dxa" w:w="80"/>
              <w:right w:type="dxa" w:w="100"/>
            </w:tcMar>
          </w:tcPr>
          <w:p>
            <w:r>
              <w:rPr>
                <w:b w:val="false"/>
                <w:bCs w:val="false"/>
                <w:color w:val="000000"/>
                <w:sz w:val="18"/>
                <w:szCs w:val="18"/>
              </w:rPr>
              <w:t xml:space="preserve">Enterprise AI Hub</w:t>
            </w:r>
          </w:p>
        </w:tc>
        <w:tc>
          <w:tcPr>
            <w:tcW w:type="dxa" w:w="2200"/>
            <w:tcMar>
              <w:top w:type="dxa" w:w="80"/>
              <w:left w:type="dxa" w:w="100"/>
              <w:bottom w:type="dxa" w:w="80"/>
              <w:right w:type="dxa" w:w="100"/>
            </w:tcMar>
          </w:tcPr>
          <w:p>
            <w:r>
              <w:rPr>
                <w:b w:val="false"/>
                <w:bCs w:val="false"/>
                <w:color w:val="000000"/>
                <w:sz w:val="18"/>
                <w:szCs w:val="18"/>
              </w:rPr>
              <w:t xml:space="preserve">Partially validated</w:t>
            </w:r>
          </w:p>
        </w:tc>
        <w:tc>
          <w:tcPr>
            <w:tcW w:type="dxa" w:w="3800"/>
            <w:tcMar>
              <w:top w:type="dxa" w:w="80"/>
              <w:left w:type="dxa" w:w="100"/>
              <w:bottom w:type="dxa" w:w="80"/>
              <w:right w:type="dxa" w:w="100"/>
            </w:tcMar>
          </w:tcPr>
          <w:p>
            <w:r>
              <w:rPr>
                <w:b w:val="false"/>
                <w:bCs w:val="false"/>
                <w:color w:val="000000"/>
                <w:sz w:val="18"/>
                <w:szCs w:val="18"/>
              </w:rPr>
              <w:t xml:space="preserve">Keep with governance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T04</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ClaimSafe Review</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Needs validation</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Keep if integrated</w:t>
            </w:r>
          </w:p>
        </w:tc>
      </w:tr>
      <w:tr>
        <w:tc>
          <w:tcPr>
            <w:tcW w:type="dxa" w:w="700"/>
            <w:tcMar>
              <w:top w:type="dxa" w:w="80"/>
              <w:left w:type="dxa" w:w="100"/>
              <w:bottom w:type="dxa" w:w="80"/>
              <w:right w:type="dxa" w:w="100"/>
            </w:tcMar>
          </w:tcPr>
          <w:p>
            <w:r>
              <w:rPr>
                <w:b w:val="false"/>
                <w:bCs w:val="false"/>
                <w:color w:val="000000"/>
                <w:sz w:val="18"/>
                <w:szCs w:val="18"/>
              </w:rPr>
              <w:t xml:space="preserve">T05</w:t>
            </w:r>
          </w:p>
        </w:tc>
        <w:tc>
          <w:tcPr>
            <w:tcW w:type="dxa" w:w="2660"/>
            <w:tcMar>
              <w:top w:type="dxa" w:w="80"/>
              <w:left w:type="dxa" w:w="100"/>
              <w:bottom w:type="dxa" w:w="80"/>
              <w:right w:type="dxa" w:w="100"/>
            </w:tcMar>
          </w:tcPr>
          <w:p>
            <w:r>
              <w:rPr>
                <w:b w:val="false"/>
                <w:bCs w:val="false"/>
                <w:color w:val="000000"/>
                <w:sz w:val="18"/>
                <w:szCs w:val="18"/>
              </w:rPr>
              <w:t xml:space="preserve">AssetVault DAM</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3800"/>
            <w:tcMar>
              <w:top w:type="dxa" w:w="80"/>
              <w:left w:type="dxa" w:w="100"/>
              <w:bottom w:type="dxa" w:w="80"/>
              <w:right w:type="dxa" w:w="100"/>
            </w:tcMar>
          </w:tcPr>
          <w:p>
            <w:r>
              <w:rPr>
                <w:b w:val="false"/>
                <w:bCs w:val="false"/>
                <w:color w:val="000000"/>
                <w:sz w:val="18"/>
                <w:szCs w:val="18"/>
              </w:rPr>
              <w:t xml:space="preserve">Keep and enforce metadata</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T06</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ProductSphere PIM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Validated</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Keep</w:t>
            </w:r>
          </w:p>
        </w:tc>
      </w:tr>
      <w:tr>
        <w:tc>
          <w:tcPr>
            <w:tcW w:type="dxa" w:w="700"/>
            <w:tcMar>
              <w:top w:type="dxa" w:w="80"/>
              <w:left w:type="dxa" w:w="100"/>
              <w:bottom w:type="dxa" w:w="80"/>
              <w:right w:type="dxa" w:w="100"/>
            </w:tcMar>
          </w:tcPr>
          <w:p>
            <w:r>
              <w:rPr>
                <w:b w:val="false"/>
                <w:bCs w:val="false"/>
                <w:color w:val="000000"/>
                <w:sz w:val="18"/>
                <w:szCs w:val="18"/>
              </w:rPr>
              <w:t xml:space="preserve">T07</w:t>
            </w:r>
          </w:p>
        </w:tc>
        <w:tc>
          <w:tcPr>
            <w:tcW w:type="dxa" w:w="2660"/>
            <w:tcMar>
              <w:top w:type="dxa" w:w="80"/>
              <w:left w:type="dxa" w:w="100"/>
              <w:bottom w:type="dxa" w:w="80"/>
              <w:right w:type="dxa" w:w="100"/>
            </w:tcMar>
          </w:tcPr>
          <w:p>
            <w:r>
              <w:rPr>
                <w:b w:val="false"/>
                <w:bCs w:val="false"/>
                <w:color w:val="000000"/>
                <w:sz w:val="18"/>
                <w:szCs w:val="18"/>
              </w:rPr>
              <w:t xml:space="preserve">Creative Taxonomy v1</w:t>
            </w:r>
          </w:p>
        </w:tc>
        <w:tc>
          <w:tcPr>
            <w:tcW w:type="dxa" w:w="2200"/>
            <w:tcMar>
              <w:top w:type="dxa" w:w="80"/>
              <w:left w:type="dxa" w:w="100"/>
              <w:bottom w:type="dxa" w:w="80"/>
              <w:right w:type="dxa" w:w="100"/>
            </w:tcMar>
          </w:tcPr>
          <w:p>
            <w:r>
              <w:rPr>
                <w:b w:val="false"/>
                <w:bCs w:val="false"/>
                <w:color w:val="000000"/>
                <w:sz w:val="18"/>
                <w:szCs w:val="18"/>
              </w:rPr>
              <w:t xml:space="preserve">Needs validation</w:t>
            </w:r>
          </w:p>
        </w:tc>
        <w:tc>
          <w:tcPr>
            <w:tcW w:type="dxa" w:w="3800"/>
            <w:tcMar>
              <w:top w:type="dxa" w:w="80"/>
              <w:left w:type="dxa" w:w="100"/>
              <w:bottom w:type="dxa" w:w="80"/>
              <w:right w:type="dxa" w:w="100"/>
            </w:tcMar>
          </w:tcPr>
          <w:p>
            <w:r>
              <w:rPr>
                <w:b w:val="false"/>
                <w:bCs w:val="false"/>
                <w:color w:val="000000"/>
                <w:sz w:val="18"/>
                <w:szCs w:val="18"/>
              </w:rPr>
              <w:t xml:space="preserve">Refresh / govern</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T08</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Content Cost Calculator</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Partially validated</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Rebuild as governed model</w:t>
            </w:r>
          </w:p>
        </w:tc>
      </w:tr>
      <w:tr>
        <w:tc>
          <w:tcPr>
            <w:tcW w:type="dxa" w:w="700"/>
            <w:tcMar>
              <w:top w:type="dxa" w:w="80"/>
              <w:left w:type="dxa" w:w="100"/>
              <w:bottom w:type="dxa" w:w="80"/>
              <w:right w:type="dxa" w:w="100"/>
            </w:tcMar>
          </w:tcPr>
          <w:p>
            <w:r>
              <w:rPr>
                <w:b w:val="false"/>
                <w:bCs w:val="false"/>
                <w:color w:val="000000"/>
                <w:sz w:val="18"/>
                <w:szCs w:val="18"/>
              </w:rPr>
              <w:t xml:space="preserve">T09</w:t>
            </w:r>
          </w:p>
        </w:tc>
        <w:tc>
          <w:tcPr>
            <w:tcW w:type="dxa" w:w="2660"/>
            <w:tcMar>
              <w:top w:type="dxa" w:w="80"/>
              <w:left w:type="dxa" w:w="100"/>
              <w:bottom w:type="dxa" w:w="80"/>
              <w:right w:type="dxa" w:w="100"/>
            </w:tcMar>
          </w:tcPr>
          <w:p>
            <w:r>
              <w:rPr>
                <w:b w:val="false"/>
                <w:bCs w:val="false"/>
                <w:color w:val="000000"/>
                <w:sz w:val="18"/>
                <w:szCs w:val="18"/>
              </w:rPr>
              <w:t xml:space="preserve">VidioGen A</w:t>
            </w:r>
          </w:p>
        </w:tc>
        <w:tc>
          <w:tcPr>
            <w:tcW w:type="dxa" w:w="2200"/>
            <w:tcMar>
              <w:top w:type="dxa" w:w="80"/>
              <w:left w:type="dxa" w:w="100"/>
              <w:bottom w:type="dxa" w:w="80"/>
              <w:right w:type="dxa" w:w="100"/>
            </w:tcMar>
          </w:tcPr>
          <w:p>
            <w:r>
              <w:rPr>
                <w:b w:val="false"/>
                <w:bCs w:val="false"/>
                <w:color w:val="000000"/>
                <w:sz w:val="18"/>
                <w:szCs w:val="18"/>
              </w:rPr>
              <w:t xml:space="preserve">Needs validation</w:t>
            </w:r>
          </w:p>
        </w:tc>
        <w:tc>
          <w:tcPr>
            <w:tcW w:type="dxa" w:w="3800"/>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T10</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PersonaDub</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Needs validation</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tcMar>
              <w:top w:type="dxa" w:w="80"/>
              <w:left w:type="dxa" w:w="100"/>
              <w:bottom w:type="dxa" w:w="80"/>
              <w:right w:type="dxa" w:w="100"/>
            </w:tcMar>
          </w:tcPr>
          <w:p>
            <w:r>
              <w:rPr>
                <w:b w:val="false"/>
                <w:bCs w:val="false"/>
                <w:color w:val="000000"/>
                <w:sz w:val="18"/>
                <w:szCs w:val="18"/>
              </w:rPr>
              <w:t xml:space="preserve">T11</w:t>
            </w:r>
          </w:p>
        </w:tc>
        <w:tc>
          <w:tcPr>
            <w:tcW w:type="dxa" w:w="2660"/>
            <w:tcMar>
              <w:top w:type="dxa" w:w="80"/>
              <w:left w:type="dxa" w:w="100"/>
              <w:bottom w:type="dxa" w:w="80"/>
              <w:right w:type="dxa" w:w="100"/>
            </w:tcMar>
          </w:tcPr>
          <w:p>
            <w:r>
              <w:rPr>
                <w:b w:val="false"/>
                <w:bCs w:val="false"/>
                <w:color w:val="000000"/>
                <w:sz w:val="18"/>
                <w:szCs w:val="18"/>
              </w:rPr>
              <w:t xml:space="preserve">EditPro Studio</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3800"/>
            <w:tcMar>
              <w:top w:type="dxa" w:w="80"/>
              <w:left w:type="dxa" w:w="100"/>
              <w:bottom w:type="dxa" w:w="80"/>
              <w:right w:type="dxa" w:w="100"/>
            </w:tcMar>
          </w:tcPr>
          <w:p>
            <w:r>
              <w:rPr>
                <w:b w:val="false"/>
                <w:bCs w:val="false"/>
                <w:color w:val="000000"/>
                <w:sz w:val="18"/>
                <w:szCs w:val="18"/>
              </w:rPr>
              <w:t xml:space="preserve">Keep</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T12</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VidioGen B</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Needs validation</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tcMar>
              <w:top w:type="dxa" w:w="80"/>
              <w:left w:type="dxa" w:w="100"/>
              <w:bottom w:type="dxa" w:w="80"/>
              <w:right w:type="dxa" w:w="100"/>
            </w:tcMar>
          </w:tcPr>
          <w:p>
            <w:r>
              <w:rPr>
                <w:b w:val="false"/>
                <w:bCs w:val="false"/>
                <w:color w:val="000000"/>
                <w:sz w:val="18"/>
                <w:szCs w:val="18"/>
              </w:rPr>
              <w:t xml:space="preserve">T13</w:t>
            </w:r>
          </w:p>
        </w:tc>
        <w:tc>
          <w:tcPr>
            <w:tcW w:type="dxa" w:w="2660"/>
            <w:tcMar>
              <w:top w:type="dxa" w:w="80"/>
              <w:left w:type="dxa" w:w="100"/>
              <w:bottom w:type="dxa" w:w="80"/>
              <w:right w:type="dxa" w:w="100"/>
            </w:tcMar>
          </w:tcPr>
          <w:p>
            <w:r>
              <w:rPr>
                <w:b w:val="false"/>
                <w:bCs w:val="false"/>
                <w:color w:val="000000"/>
                <w:sz w:val="18"/>
                <w:szCs w:val="18"/>
              </w:rPr>
              <w:t xml:space="preserve">LocalVoice AI</w:t>
            </w:r>
          </w:p>
        </w:tc>
        <w:tc>
          <w:tcPr>
            <w:tcW w:type="dxa" w:w="2200"/>
            <w:tcMar>
              <w:top w:type="dxa" w:w="80"/>
              <w:left w:type="dxa" w:w="100"/>
              <w:bottom w:type="dxa" w:w="80"/>
              <w:right w:type="dxa" w:w="100"/>
            </w:tcMar>
          </w:tcPr>
          <w:p>
            <w:r>
              <w:rPr>
                <w:b w:val="false"/>
                <w:bCs w:val="false"/>
                <w:color w:val="000000"/>
                <w:sz w:val="18"/>
                <w:szCs w:val="18"/>
              </w:rPr>
              <w:t xml:space="preserve">Partially validated</w:t>
            </w:r>
          </w:p>
        </w:tc>
        <w:tc>
          <w:tcPr>
            <w:tcW w:type="dxa" w:w="3800"/>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T14</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ImageForge AI</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Partially validated</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Keep with guardrails</w:t>
            </w:r>
          </w:p>
        </w:tc>
      </w:tr>
      <w:tr>
        <w:tc>
          <w:tcPr>
            <w:tcW w:type="dxa" w:w="700"/>
            <w:tcMar>
              <w:top w:type="dxa" w:w="80"/>
              <w:left w:type="dxa" w:w="100"/>
              <w:bottom w:type="dxa" w:w="80"/>
              <w:right w:type="dxa" w:w="100"/>
            </w:tcMar>
          </w:tcPr>
          <w:p>
            <w:r>
              <w:rPr>
                <w:b w:val="false"/>
                <w:bCs w:val="false"/>
                <w:color w:val="000000"/>
                <w:sz w:val="18"/>
                <w:szCs w:val="18"/>
              </w:rPr>
              <w:t xml:space="preserve">T15</w:t>
            </w:r>
          </w:p>
        </w:tc>
        <w:tc>
          <w:tcPr>
            <w:tcW w:type="dxa" w:w="2660"/>
            <w:tcMar>
              <w:top w:type="dxa" w:w="80"/>
              <w:left w:type="dxa" w:w="100"/>
              <w:bottom w:type="dxa" w:w="80"/>
              <w:right w:type="dxa" w:w="100"/>
            </w:tcMar>
          </w:tcPr>
          <w:p>
            <w:r>
              <w:rPr>
                <w:b w:val="false"/>
                <w:bCs w:val="false"/>
                <w:color w:val="000000"/>
                <w:sz w:val="18"/>
                <w:szCs w:val="18"/>
              </w:rPr>
              <w:t xml:space="preserve">Multi-LLM Access</w:t>
            </w:r>
          </w:p>
        </w:tc>
        <w:tc>
          <w:tcPr>
            <w:tcW w:type="dxa" w:w="2200"/>
            <w:tcMar>
              <w:top w:type="dxa" w:w="80"/>
              <w:left w:type="dxa" w:w="100"/>
              <w:bottom w:type="dxa" w:w="80"/>
              <w:right w:type="dxa" w:w="100"/>
            </w:tcMar>
          </w:tcPr>
          <w:p>
            <w:r>
              <w:rPr>
                <w:b w:val="false"/>
                <w:bCs w:val="false"/>
                <w:color w:val="000000"/>
                <w:sz w:val="18"/>
                <w:szCs w:val="18"/>
              </w:rPr>
              <w:t xml:space="preserve">Needs validation</w:t>
            </w:r>
          </w:p>
        </w:tc>
        <w:tc>
          <w:tcPr>
            <w:tcW w:type="dxa" w:w="3800"/>
            <w:tcMar>
              <w:top w:type="dxa" w:w="80"/>
              <w:left w:type="dxa" w:w="100"/>
              <w:bottom w:type="dxa" w:w="80"/>
              <w:right w:type="dxa" w:w="100"/>
            </w:tcMar>
          </w:tcPr>
          <w:p>
            <w:r>
              <w:rPr>
                <w:b w:val="false"/>
                <w:bCs w:val="false"/>
                <w:color w:val="000000"/>
                <w:sz w:val="18"/>
                <w:szCs w:val="18"/>
              </w:rPr>
              <w:t xml:space="preserve">Govern / rationalise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T16</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WorkTrack PM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Validated</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Keep or integrate with FlowGrid</w:t>
            </w:r>
          </w:p>
        </w:tc>
      </w:tr>
      <w:tr>
        <w:tc>
          <w:tcPr>
            <w:tcW w:type="dxa" w:w="700"/>
            <w:tcMar>
              <w:top w:type="dxa" w:w="80"/>
              <w:left w:type="dxa" w:w="100"/>
              <w:bottom w:type="dxa" w:w="80"/>
              <w:right w:type="dxa" w:w="100"/>
            </w:tcMar>
          </w:tcPr>
          <w:p>
            <w:r>
              <w:rPr>
                <w:b w:val="false"/>
                <w:bCs w:val="false"/>
                <w:color w:val="000000"/>
                <w:sz w:val="18"/>
                <w:szCs w:val="18"/>
              </w:rPr>
              <w:t xml:space="preserve">T17</w:t>
            </w:r>
          </w:p>
        </w:tc>
        <w:tc>
          <w:tcPr>
            <w:tcW w:type="dxa" w:w="2660"/>
            <w:tcMar>
              <w:top w:type="dxa" w:w="80"/>
              <w:left w:type="dxa" w:w="100"/>
              <w:bottom w:type="dxa" w:w="80"/>
              <w:right w:type="dxa" w:w="100"/>
            </w:tcMar>
          </w:tcPr>
          <w:p>
            <w:r>
              <w:rPr>
                <w:b w:val="false"/>
                <w:bCs w:val="false"/>
                <w:color w:val="000000"/>
                <w:sz w:val="18"/>
                <w:szCs w:val="18"/>
              </w:rPr>
              <w:t xml:space="preserve">RetailFeed Manager</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3800"/>
            <w:tcMar>
              <w:top w:type="dxa" w:w="80"/>
              <w:left w:type="dxa" w:w="100"/>
              <w:bottom w:type="dxa" w:w="80"/>
              <w:right w:type="dxa" w:w="100"/>
            </w:tcMar>
          </w:tcPr>
          <w:p>
            <w:r>
              <w:rPr>
                <w:b w:val="false"/>
                <w:bCs w:val="false"/>
                <w:color w:val="000000"/>
                <w:sz w:val="18"/>
                <w:szCs w:val="18"/>
              </w:rPr>
              <w:t xml:space="preserve">Keep</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T18</w:t>
            </w:r>
          </w:p>
        </w:tc>
        <w:tc>
          <w:tcPr>
            <w:tcW w:type="dxa" w:w="2660"/>
            <w:shd w:fill="F5F5F0" w:val="clear"/>
            <w:tcMar>
              <w:top w:type="dxa" w:w="80"/>
              <w:left w:type="dxa" w:w="100"/>
              <w:bottom w:type="dxa" w:w="80"/>
              <w:right w:type="dxa" w:w="100"/>
            </w:tcMar>
          </w:tcPr>
          <w:p>
            <w:r>
              <w:rPr>
                <w:b w:val="false"/>
                <w:bCs w:val="false"/>
                <w:color w:val="000000"/>
                <w:sz w:val="18"/>
                <w:szCs w:val="18"/>
              </w:rPr>
              <w:t xml:space="preserve">InsightBoard BI</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Partially validated</w:t>
            </w:r>
          </w:p>
        </w:tc>
        <w:tc>
          <w:tcPr>
            <w:tcW w:type="dxa" w:w="3800"/>
            <w:shd w:fill="F5F5F0" w:val="clear"/>
            <w:tcMar>
              <w:top w:type="dxa" w:w="80"/>
              <w:left w:type="dxa" w:w="100"/>
              <w:bottom w:type="dxa" w:w="80"/>
              <w:right w:type="dxa" w:w="100"/>
            </w:tcMar>
          </w:tcPr>
          <w:p>
            <w:r>
              <w:rPr>
                <w:b w:val="false"/>
                <w:bCs w:val="false"/>
                <w:color w:val="000000"/>
                <w:sz w:val="18"/>
                <w:szCs w:val="18"/>
              </w:rPr>
              <w:t xml:space="preserve">Keep and automate narrative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8B2E" w:sz="4"/>
              <w:left w:val="single" w:color="B98B2E" w:sz="4"/>
              <w:bottom w:val="single" w:color="B98B2E" w:sz="4"/>
              <w:right w:val="single" w:color="B98B2E" w:sz="4"/>
            </w:tcBorders>
            <w:shd w:fill="FCF3DF" w:val="clear"/>
            <w:tcMar>
              <w:top w:type="dxa" w:w="160"/>
              <w:left w:type="dxa" w:w="220"/>
              <w:bottom w:type="dxa" w:w="160"/>
              <w:right w:type="dxa" w:w="220"/>
            </w:tcMar>
          </w:tcPr>
          <w:p>
            <w:pPr>
              <w:spacing w:after="100"/>
            </w:pPr>
            <w:r>
              <w:rPr>
                <w:b/>
                <w:bCs/>
                <w:sz w:val="20"/>
                <w:szCs w:val="20"/>
              </w:rPr>
              <w:t xml:space="preserve">Our recommendation</w:t>
            </w:r>
          </w:p>
          <w:p>
            <w:pPr>
              <w:pStyle w:val="ListParagraph"/>
              <w:numPr>
                <w:ilvl w:val="0"/>
                <w:numId w:val="1"/>
              </w:numPr>
              <w:spacing w:after="60"/>
            </w:pPr>
            <w:r>
              <w:t xml:space="preserve">7 of 18 tools are validated and none of those 7 need to move. Don't spend leadership attention re-litigating what already works.</w:t>
            </w:r>
          </w:p>
          <w:p>
            <w:pPr>
              <w:pStyle w:val="ListParagraph"/>
              <w:numPr>
                <w:ilvl w:val="0"/>
                <w:numId w:val="1"/>
              </w:numPr>
              <w:spacing w:after="60"/>
            </w:pPr>
            <w:r>
              <w:t xml:space="preserve">The real decision is on the 4 tools flagged possible consolidate in the source data itself: VidioGen A, VidioGen B, PersonaDub, LocalVoice AI. Combined run-rate is GBP 237,600/year for functionally overlapping capability, two video generation tools and two dubbing-capable tools.</w:t>
            </w:r>
          </w:p>
          <w:p>
            <w:pPr>
              <w:pStyle w:val="ListParagraph"/>
              <w:numPr>
                <w:ilvl w:val="0"/>
                <w:numId w:val="1"/>
              </w:numPr>
              <w:spacing w:after="60"/>
            </w:pPr>
            <w:r>
              <w:t xml:space="preserve">This is the fastest, lowest-risk saving in the entire model. It needs no pilot, no change management, no workflow redesign. It needs a vendor decision. Put it in front of Procurement independently of the wider transformation timeline.</w:t>
            </w:r>
          </w:p>
        </w:tc>
      </w:tr>
    </w:tbl>
    <w:p>
      <w:r>
        <w:br w:type="page"/>
      </w:r>
    </w:p>
    <w:p>
      <w:pPr>
        <w:pStyle w:val="Heading1"/>
        <w:spacing w:after="160" w:before="360"/>
      </w:pPr>
      <w:r>
        <w:t xml:space="preserve">6. Future State: Roadmap</w:t>
      </w:r>
    </w:p>
    <w:p>
      <w:pPr>
        <w:spacing w:after="160"/>
      </w:pPr>
      <w:r>
        <w:rPr>
          <w:b w:val="false"/>
          <w:bCs w:val="false"/>
          <w:i w:val="false"/>
          <w:iCs w:val="false"/>
          <w:sz w:val="21"/>
          <w:szCs w:val="21"/>
        </w:rPr>
        <w:t xml:space="preserve">Four waves, sequenced by AI readiness and evidence confidence as tracked in the source data, not invented after the fact.</w:t>
      </w:r>
    </w:p>
    <w:p>
      <w:pPr>
        <w:pStyle w:val="Heading2"/>
        <w:spacing w:after="120" w:before="240"/>
      </w:pPr>
      <w:r>
        <w:t xml:space="preserve">Wave 1 (Months 0-3): Quick Wins, High Readiness, High Confidence</w:t>
      </w:r>
    </w:p>
    <w:p>
      <w:pPr>
        <w:pStyle w:val="ListParagraph"/>
        <w:numPr>
          <w:ilvl w:val="0"/>
          <w:numId w:val="1"/>
        </w:numPr>
        <w:spacing w:after="80"/>
      </w:pPr>
      <w:r>
        <w:t xml:space="preserve">JTBD / pre-brief intake (WF03): 42 briefs/month, 31% rework today, the highest rework rate of the four.</w:t>
      </w:r>
    </w:p>
    <w:p>
      <w:pPr>
        <w:pStyle w:val="ListParagraph"/>
        <w:numPr>
          <w:ilvl w:val="0"/>
          <w:numId w:val="1"/>
        </w:numPr>
        <w:spacing w:after="80"/>
      </w:pPr>
      <w:r>
        <w:t xml:space="preserve">Creative briefing (WF04): 36 briefs/month, 28% rework, multiple versions currently exist with approvals scattered across email and chat.</w:t>
      </w:r>
    </w:p>
    <w:p>
      <w:pPr>
        <w:pStyle w:val="ListParagraph"/>
        <w:numPr>
          <w:ilvl w:val="0"/>
          <w:numId w:val="1"/>
        </w:numPr>
        <w:spacing w:after="80"/>
      </w:pPr>
      <w:r>
        <w:t xml:space="preserve">Content development, transcreation &amp; deployment (WF08): 96/month, the highest-volume, highest-impact workflow in the model.</w:t>
      </w:r>
    </w:p>
    <w:p>
      <w:pPr>
        <w:pStyle w:val="ListParagraph"/>
        <w:numPr>
          <w:ilvl w:val="0"/>
          <w:numId w:val="1"/>
        </w:numPr>
        <w:spacing w:after="80"/>
      </w:pPr>
      <w:r>
        <w:t xml:space="preserve">Retailer.com content refresh (WF11): 76/month, 62% SLA achievement against a 10-working-day target, blocked partly by missing image specs. RACI gap must close first, see Section 3.</w:t>
      </w:r>
    </w:p>
    <w:p>
      <w:pPr>
        <w:pStyle w:val="Heading2"/>
        <w:spacing w:after="120" w:before="240"/>
      </w:pPr>
      <w:r>
        <w:t xml:space="preserve">Wave 2 (Months 3-6): Orchestration and Reporting</w:t>
      </w:r>
    </w:p>
    <w:p>
      <w:pPr>
        <w:pStyle w:val="ListParagraph"/>
        <w:numPr>
          <w:ilvl w:val="0"/>
          <w:numId w:val="1"/>
        </w:numPr>
        <w:spacing w:after="80"/>
      </w:pPr>
      <w:r>
        <w:t xml:space="preserve">Comms framework / touchpoint strategy (WF06) and Media plan definition (WF07): both High readiness, Medium confidence.</w:t>
      </w:r>
    </w:p>
    <w:p>
      <w:pPr>
        <w:pStyle w:val="ListParagraph"/>
        <w:numPr>
          <w:ilvl w:val="0"/>
          <w:numId w:val="1"/>
        </w:numPr>
        <w:spacing w:after="80"/>
      </w:pPr>
      <w:r>
        <w:t xml:space="preserve">Measurement &amp; optimisation reporting (WF09): weekly reports currently hand-compiled across four data sources.</w:t>
      </w:r>
    </w:p>
    <w:p>
      <w:pPr>
        <w:pStyle w:val="ListParagraph"/>
        <w:numPr>
          <w:ilvl w:val="0"/>
          <w:numId w:val="1"/>
        </w:numPr>
        <w:spacing w:after="80"/>
      </w:pPr>
      <w:r>
        <w:t xml:space="preserve">Workflow orchestration (WF10): highest volume in the model at 118/month, no single operating view today.</w:t>
      </w:r>
    </w:p>
    <w:p>
      <w:pPr>
        <w:pStyle w:val="Heading2"/>
        <w:spacing w:after="120" w:before="240"/>
      </w:pPr>
      <w:r>
        <w:t xml:space="preserve">Wave 3 (Months 6-12): Judgment-Heavy Planning and Creative</w:t>
      </w:r>
    </w:p>
    <w:p>
      <w:pPr>
        <w:pStyle w:val="ListParagraph"/>
        <w:numPr>
          <w:ilvl w:val="0"/>
          <w:numId w:val="1"/>
        </w:numPr>
        <w:spacing w:after="80"/>
      </w:pPr>
      <w:r>
        <w:t xml:space="preserve">Brand growth &amp; annual planning (WF01) and Audience &amp; investment planning (WF02): high impact, high effort, Medium confidence. Deliberately sequenced last.</w:t>
      </w:r>
    </w:p>
    <w:p>
      <w:pPr>
        <w:pStyle w:val="ListParagraph"/>
        <w:numPr>
          <w:ilvl w:val="0"/>
          <w:numId w:val="1"/>
        </w:numPr>
        <w:spacing w:after="80"/>
      </w:pPr>
      <w:r>
        <w:t xml:space="preserve">Creative concepting / approval (WF05): AI supports evidence trail only, approval stays fully human throughout.</w:t>
      </w:r>
    </w:p>
    <w:p>
      <w:pPr>
        <w:pStyle w:val="ListParagraph"/>
        <w:numPr>
          <w:ilvl w:val="0"/>
          <w:numId w:val="1"/>
        </w:numPr>
        <w:spacing w:after="80"/>
      </w:pPr>
      <w:r>
        <w:t xml:space="preserve">Influencer / creator content activation (WF12): RACI gap must close first, see Section 3.</w:t>
      </w:r>
    </w:p>
    <w:p>
      <w:pPr>
        <w:pStyle w:val="Heading2"/>
        <w:spacing w:after="120" w:before="240"/>
      </w:pPr>
      <w:r>
        <w:t xml:space="preserve">Ongoing: Governance Track (parallel to all three waves)</w:t>
      </w:r>
    </w:p>
    <w:p>
      <w:pPr>
        <w:pStyle w:val="ListParagraph"/>
        <w:numPr>
          <w:ilvl w:val="0"/>
          <w:numId w:val="1"/>
        </w:numPr>
        <w:spacing w:after="80"/>
      </w:pPr>
      <w:r>
        <w:t xml:space="preserve">AI usage policy and review gates for claims-adjacent content (Risk R02), before Wave 1 go-live.</w:t>
      </w:r>
    </w:p>
    <w:p>
      <w:pPr>
        <w:pStyle w:val="ListParagraph"/>
        <w:numPr>
          <w:ilvl w:val="0"/>
          <w:numId w:val="1"/>
        </w:numPr>
        <w:spacing w:after="80"/>
      </w:pPr>
      <w:r>
        <w:t xml:space="preserve">Campaign ID mapping across planning, production, assets and measurement (Risk R05), needed for any credible end-to-end reporting.</w:t>
      </w:r>
    </w:p>
    <w:p>
      <w:pPr>
        <w:pStyle w:val="Heading1"/>
        <w:spacing w:after="160" w:before="360"/>
      </w:pPr>
      <w:r>
        <w:t xml:space="preserve">7. Future State: RACI</w:t>
      </w:r>
    </w:p>
    <w:p>
      <w:pPr>
        <w:spacing w:after="160"/>
      </w:pPr>
      <w:r>
        <w:rPr>
          <w:b w:val="false"/>
          <w:bCs w:val="false"/>
          <w:i w:val="false"/>
          <w:iCs w:val="false"/>
          <w:sz w:val="21"/>
          <w:szCs w:val="21"/>
        </w:rPr>
        <w:t xml:space="preserve">Same activities as the current-state RACI. AI is added as a Responsible-tier support role only. Accountable ownership is unchanged in every row. This is a hard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shd w:fill="1F2937" w:val="clear"/>
            <w:tcMar>
              <w:top w:type="dxa" w:w="80"/>
              <w:left w:type="dxa" w:w="100"/>
              <w:bottom w:type="dxa" w:w="80"/>
              <w:right w:type="dxa" w:w="100"/>
            </w:tcMar>
          </w:tcPr>
          <w:p>
            <w:r>
              <w:rPr>
                <w:b/>
                <w:bCs/>
                <w:color w:val="FFFFFF"/>
                <w:sz w:val="18"/>
                <w:szCs w:val="18"/>
              </w:rPr>
              <w:t xml:space="preserve">Activity</w:t>
            </w:r>
          </w:p>
        </w:tc>
        <w:tc>
          <w:tcPr>
            <w:tcW w:type="dxa" w:w="4160"/>
            <w:shd w:fill="1F2937" w:val="clear"/>
            <w:tcMar>
              <w:top w:type="dxa" w:w="80"/>
              <w:left w:type="dxa" w:w="100"/>
              <w:bottom w:type="dxa" w:w="80"/>
              <w:right w:type="dxa" w:w="100"/>
            </w:tcMar>
          </w:tcPr>
          <w:p>
            <w:r>
              <w:rPr>
                <w:b/>
                <w:bCs/>
                <w:color w:val="FFFFFF"/>
                <w:sz w:val="18"/>
                <w:szCs w:val="18"/>
              </w:rPr>
              <w:t xml:space="preserve">AI role (new)</w:t>
            </w:r>
          </w:p>
        </w:tc>
        <w:tc>
          <w:tcPr>
            <w:tcW w:type="dxa" w:w="2200"/>
            <w:shd w:fill="1F2937" w:val="clear"/>
            <w:tcMar>
              <w:top w:type="dxa" w:w="80"/>
              <w:left w:type="dxa" w:w="100"/>
              <w:bottom w:type="dxa" w:w="80"/>
              <w:right w:type="dxa" w:w="100"/>
            </w:tcMar>
          </w:tcPr>
          <w:p>
            <w:r>
              <w:rPr>
                <w:b/>
                <w:bCs/>
                <w:color w:val="FFFFFF"/>
                <w:sz w:val="18"/>
                <w:szCs w:val="18"/>
              </w:rPr>
              <w:t xml:space="preserve">Accountable (unchanged)</w:t>
            </w:r>
          </w:p>
        </w:tc>
      </w:tr>
      <w:tr>
        <w:tc>
          <w:tcPr>
            <w:tcW w:type="dxa" w:w="3000"/>
            <w:tcMar>
              <w:top w:type="dxa" w:w="80"/>
              <w:left w:type="dxa" w:w="100"/>
              <w:bottom w:type="dxa" w:w="80"/>
              <w:right w:type="dxa" w:w="100"/>
            </w:tcMar>
          </w:tcPr>
          <w:p>
            <w:r>
              <w:rPr>
                <w:b w:val="false"/>
                <w:bCs w:val="false"/>
                <w:color w:val="000000"/>
                <w:sz w:val="18"/>
                <w:szCs w:val="18"/>
              </w:rPr>
              <w:t xml:space="preserve">Brand growth &amp; annual planning</w:t>
            </w:r>
          </w:p>
        </w:tc>
        <w:tc>
          <w:tcPr>
            <w:tcW w:type="dxa" w:w="4160"/>
            <w:tcMar>
              <w:top w:type="dxa" w:w="80"/>
              <w:left w:type="dxa" w:w="100"/>
              <w:bottom w:type="dxa" w:w="80"/>
              <w:right w:type="dxa" w:w="100"/>
            </w:tcMar>
          </w:tcPr>
          <w:p>
            <w:r>
              <w:rPr>
                <w:b w:val="false"/>
                <w:bCs w:val="false"/>
                <w:color w:val="000000"/>
                <w:sz w:val="18"/>
                <w:szCs w:val="18"/>
              </w:rPr>
              <w:t xml:space="preserve">Prepare scenario packs and compare assumptions</w:t>
            </w:r>
          </w:p>
        </w:tc>
        <w:tc>
          <w:tcPr>
            <w:tcW w:type="dxa" w:w="2200"/>
            <w:tcMar>
              <w:top w:type="dxa" w:w="80"/>
              <w:left w:type="dxa" w:w="100"/>
              <w:bottom w:type="dxa" w:w="80"/>
              <w:right w:type="dxa" w:w="100"/>
            </w:tcMar>
          </w:tcPr>
          <w:p>
            <w:r>
              <w:rPr>
                <w:b w:val="false"/>
                <w:bCs w:val="false"/>
                <w:color w:val="000000"/>
                <w:sz w:val="18"/>
                <w:szCs w:val="18"/>
              </w:rPr>
              <w:t xml:space="preserve">Chief Brand Officer</w:t>
            </w:r>
          </w:p>
        </w:tc>
      </w:tr>
      <w:tr>
        <w:tc>
          <w:tcPr>
            <w:tcW w:type="dxa" w:w="3000"/>
            <w:shd w:fill="F5F5F0" w:val="clear"/>
            <w:tcMar>
              <w:top w:type="dxa" w:w="80"/>
              <w:left w:type="dxa" w:w="100"/>
              <w:bottom w:type="dxa" w:w="80"/>
              <w:right w:type="dxa" w:w="100"/>
            </w:tcMar>
          </w:tcPr>
          <w:p>
            <w:r>
              <w:rPr>
                <w:b w:val="false"/>
                <w:bCs w:val="false"/>
                <w:color w:val="000000"/>
                <w:sz w:val="18"/>
                <w:szCs w:val="18"/>
              </w:rPr>
              <w:t xml:space="preserve">Audience &amp; investment planning</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Prepare audience/investment options</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Global Media Director</w:t>
            </w:r>
          </w:p>
        </w:tc>
      </w:tr>
      <w:tr>
        <w:tc>
          <w:tcPr>
            <w:tcW w:type="dxa" w:w="3000"/>
            <w:tcMar>
              <w:top w:type="dxa" w:w="80"/>
              <w:left w:type="dxa" w:w="100"/>
              <w:bottom w:type="dxa" w:w="80"/>
              <w:right w:type="dxa" w:w="100"/>
            </w:tcMar>
          </w:tcPr>
          <w:p>
            <w:r>
              <w:rPr>
                <w:b w:val="false"/>
                <w:bCs w:val="false"/>
                <w:color w:val="000000"/>
                <w:sz w:val="18"/>
                <w:szCs w:val="18"/>
              </w:rPr>
              <w:t xml:space="preserve">JTBD / pre-brief intake</w:t>
            </w:r>
          </w:p>
        </w:tc>
        <w:tc>
          <w:tcPr>
            <w:tcW w:type="dxa" w:w="4160"/>
            <w:tcMar>
              <w:top w:type="dxa" w:w="80"/>
              <w:left w:type="dxa" w:w="100"/>
              <w:bottom w:type="dxa" w:w="80"/>
              <w:right w:type="dxa" w:w="100"/>
            </w:tcMar>
          </w:tcPr>
          <w:p>
            <w:r>
              <w:rPr>
                <w:b w:val="false"/>
                <w:bCs w:val="false"/>
                <w:color w:val="000000"/>
                <w:sz w:val="18"/>
                <w:szCs w:val="18"/>
              </w:rPr>
              <w:t xml:space="preserve">Check completeness, classify request, route intake</w:t>
            </w:r>
          </w:p>
        </w:tc>
        <w:tc>
          <w:tcPr>
            <w:tcW w:type="dxa" w:w="2200"/>
            <w:tcMar>
              <w:top w:type="dxa" w:w="80"/>
              <w:left w:type="dxa" w:w="100"/>
              <w:bottom w:type="dxa" w:w="80"/>
              <w:right w:type="dxa" w:w="100"/>
            </w:tcMar>
          </w:tcPr>
          <w:p>
            <w:r>
              <w:rPr>
                <w:b w:val="false"/>
                <w:bCs w:val="false"/>
                <w:color w:val="000000"/>
                <w:sz w:val="18"/>
                <w:szCs w:val="18"/>
              </w:rPr>
              <w:t xml:space="preserve">Brand Director</w:t>
            </w:r>
          </w:p>
        </w:tc>
      </w:tr>
      <w:tr>
        <w:tc>
          <w:tcPr>
            <w:tcW w:type="dxa" w:w="3000"/>
            <w:shd w:fill="F5F5F0" w:val="clear"/>
            <w:tcMar>
              <w:top w:type="dxa" w:w="80"/>
              <w:left w:type="dxa" w:w="100"/>
              <w:bottom w:type="dxa" w:w="80"/>
              <w:right w:type="dxa" w:w="100"/>
            </w:tcMar>
          </w:tcPr>
          <w:p>
            <w:r>
              <w:rPr>
                <w:b w:val="false"/>
                <w:bCs w:val="false"/>
                <w:color w:val="000000"/>
                <w:sz w:val="18"/>
                <w:szCs w:val="18"/>
              </w:rPr>
              <w:t xml:space="preserve">Creative briefing</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Detect missing fields, suggest brief improvements</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Brand Director</w:t>
            </w:r>
          </w:p>
        </w:tc>
      </w:tr>
      <w:tr>
        <w:tc>
          <w:tcPr>
            <w:tcW w:type="dxa" w:w="3000"/>
            <w:tcMar>
              <w:top w:type="dxa" w:w="80"/>
              <w:left w:type="dxa" w:w="100"/>
              <w:bottom w:type="dxa" w:w="80"/>
              <w:right w:type="dxa" w:w="100"/>
            </w:tcMar>
          </w:tcPr>
          <w:p>
            <w:r>
              <w:rPr>
                <w:b w:val="false"/>
                <w:bCs w:val="false"/>
                <w:color w:val="000000"/>
                <w:sz w:val="18"/>
                <w:szCs w:val="18"/>
              </w:rPr>
              <w:t xml:space="preserve">Creative concepting / approval</w:t>
            </w:r>
          </w:p>
        </w:tc>
        <w:tc>
          <w:tcPr>
            <w:tcW w:type="dxa" w:w="4160"/>
            <w:tcMar>
              <w:top w:type="dxa" w:w="80"/>
              <w:left w:type="dxa" w:w="100"/>
              <w:bottom w:type="dxa" w:w="80"/>
              <w:right w:type="dxa" w:w="100"/>
            </w:tcMar>
          </w:tcPr>
          <w:p>
            <w:r>
              <w:rPr>
                <w:b w:val="false"/>
                <w:bCs w:val="false"/>
                <w:color w:val="000000"/>
                <w:sz w:val="18"/>
                <w:szCs w:val="18"/>
              </w:rPr>
              <w:t xml:space="preserve">Summarise options and feedback history</w:t>
            </w:r>
          </w:p>
        </w:tc>
        <w:tc>
          <w:tcPr>
            <w:tcW w:type="dxa" w:w="2200"/>
            <w:tcMar>
              <w:top w:type="dxa" w:w="80"/>
              <w:left w:type="dxa" w:w="100"/>
              <w:bottom w:type="dxa" w:w="80"/>
              <w:right w:type="dxa" w:w="100"/>
            </w:tcMar>
          </w:tcPr>
          <w:p>
            <w:r>
              <w:rPr>
                <w:b w:val="false"/>
                <w:bCs w:val="false"/>
                <w:color w:val="000000"/>
                <w:sz w:val="18"/>
                <w:szCs w:val="18"/>
              </w:rPr>
              <w:t xml:space="preserve">Executive Creative Director</w:t>
            </w:r>
          </w:p>
        </w:tc>
      </w:tr>
      <w:tr>
        <w:tc>
          <w:tcPr>
            <w:tcW w:type="dxa" w:w="3000"/>
            <w:shd w:fill="F5F5F0" w:val="clear"/>
            <w:tcMar>
              <w:top w:type="dxa" w:w="80"/>
              <w:left w:type="dxa" w:w="100"/>
              <w:bottom w:type="dxa" w:w="80"/>
              <w:right w:type="dxa" w:w="100"/>
            </w:tcMar>
          </w:tcPr>
          <w:p>
            <w:r>
              <w:rPr>
                <w:b w:val="false"/>
                <w:bCs w:val="false"/>
                <w:color w:val="000000"/>
                <w:sz w:val="18"/>
                <w:szCs w:val="18"/>
              </w:rPr>
              <w:t xml:space="preserve">Comms framework / touchpoint</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Map touchpoints to objective and audience</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Marketing Strategy Director</w:t>
            </w:r>
          </w:p>
        </w:tc>
      </w:tr>
      <w:tr>
        <w:tc>
          <w:tcPr>
            <w:tcW w:type="dxa" w:w="3000"/>
            <w:tcMar>
              <w:top w:type="dxa" w:w="80"/>
              <w:left w:type="dxa" w:w="100"/>
              <w:bottom w:type="dxa" w:w="80"/>
              <w:right w:type="dxa" w:w="100"/>
            </w:tcMar>
          </w:tcPr>
          <w:p>
            <w:r>
              <w:rPr>
                <w:b w:val="false"/>
                <w:bCs w:val="false"/>
                <w:color w:val="000000"/>
                <w:sz w:val="18"/>
                <w:szCs w:val="18"/>
              </w:rPr>
              <w:t xml:space="preserve">Media plan definition</w:t>
            </w:r>
          </w:p>
        </w:tc>
        <w:tc>
          <w:tcPr>
            <w:tcW w:type="dxa" w:w="4160"/>
            <w:tcMar>
              <w:top w:type="dxa" w:w="80"/>
              <w:left w:type="dxa" w:w="100"/>
              <w:bottom w:type="dxa" w:w="80"/>
              <w:right w:type="dxa" w:w="100"/>
            </w:tcMar>
          </w:tcPr>
          <w:p>
            <w:r>
              <w:rPr>
                <w:b w:val="false"/>
                <w:bCs w:val="false"/>
                <w:color w:val="000000"/>
                <w:sz w:val="18"/>
                <w:szCs w:val="18"/>
              </w:rPr>
              <w:t xml:space="preserve">Summarise changes, risks and dependencies</w:t>
            </w:r>
          </w:p>
        </w:tc>
        <w:tc>
          <w:tcPr>
            <w:tcW w:type="dxa" w:w="2200"/>
            <w:tcMar>
              <w:top w:type="dxa" w:w="80"/>
              <w:left w:type="dxa" w:w="100"/>
              <w:bottom w:type="dxa" w:w="80"/>
              <w:right w:type="dxa" w:w="100"/>
            </w:tcMar>
          </w:tcPr>
          <w:p>
            <w:r>
              <w:rPr>
                <w:b w:val="false"/>
                <w:bCs w:val="false"/>
                <w:color w:val="000000"/>
                <w:sz w:val="18"/>
                <w:szCs w:val="18"/>
              </w:rPr>
              <w:t xml:space="preserve">Global Media Director</w:t>
            </w:r>
          </w:p>
        </w:tc>
      </w:tr>
      <w:tr>
        <w:tc>
          <w:tcPr>
            <w:tcW w:type="dxa" w:w="3000"/>
            <w:shd w:fill="F5F5F0" w:val="clear"/>
            <w:tcMar>
              <w:top w:type="dxa" w:w="80"/>
              <w:left w:type="dxa" w:w="100"/>
              <w:bottom w:type="dxa" w:w="80"/>
              <w:right w:type="dxa" w:w="100"/>
            </w:tcMar>
          </w:tcPr>
          <w:p>
            <w:r>
              <w:rPr>
                <w:b w:val="false"/>
                <w:bCs w:val="false"/>
                <w:color w:val="000000"/>
                <w:sz w:val="18"/>
                <w:szCs w:val="18"/>
              </w:rPr>
              <w:t xml:space="preserve">Content dev &amp; localisation</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Prepare localisation packs, metadata and routing</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Marketing Operations Director</w:t>
            </w:r>
          </w:p>
        </w:tc>
      </w:tr>
      <w:tr>
        <w:tc>
          <w:tcPr>
            <w:tcW w:type="dxa" w:w="3000"/>
            <w:tcMar>
              <w:top w:type="dxa" w:w="80"/>
              <w:left w:type="dxa" w:w="100"/>
              <w:bottom w:type="dxa" w:w="80"/>
              <w:right w:type="dxa" w:w="100"/>
            </w:tcMar>
          </w:tcPr>
          <w:p>
            <w:r>
              <w:rPr>
                <w:b w:val="false"/>
                <w:bCs w:val="false"/>
                <w:color w:val="000000"/>
                <w:sz w:val="18"/>
                <w:szCs w:val="18"/>
              </w:rPr>
              <w:t xml:space="preserve">Measurement &amp; optimisation</w:t>
            </w:r>
          </w:p>
        </w:tc>
        <w:tc>
          <w:tcPr>
            <w:tcW w:type="dxa" w:w="4160"/>
            <w:tcMar>
              <w:top w:type="dxa" w:w="80"/>
              <w:left w:type="dxa" w:w="100"/>
              <w:bottom w:type="dxa" w:w="80"/>
              <w:right w:type="dxa" w:w="100"/>
            </w:tcMar>
          </w:tcPr>
          <w:p>
            <w:r>
              <w:rPr>
                <w:b w:val="false"/>
                <w:bCs w:val="false"/>
                <w:color w:val="000000"/>
                <w:sz w:val="18"/>
                <w:szCs w:val="18"/>
              </w:rPr>
              <w:t xml:space="preserve">Summarise performance and draft recommendations</w:t>
            </w:r>
          </w:p>
        </w:tc>
        <w:tc>
          <w:tcPr>
            <w:tcW w:type="dxa" w:w="2200"/>
            <w:tcMar>
              <w:top w:type="dxa" w:w="80"/>
              <w:left w:type="dxa" w:w="100"/>
              <w:bottom w:type="dxa" w:w="80"/>
              <w:right w:type="dxa" w:w="100"/>
            </w:tcMar>
          </w:tcPr>
          <w:p>
            <w:r>
              <w:rPr>
                <w:b w:val="false"/>
                <w:bCs w:val="false"/>
                <w:color w:val="000000"/>
                <w:sz w:val="18"/>
                <w:szCs w:val="18"/>
              </w:rPr>
              <w:t xml:space="preserve">Data / Measurement Lead</w:t>
            </w:r>
          </w:p>
        </w:tc>
      </w:tr>
      <w:tr>
        <w:tc>
          <w:tcPr>
            <w:tcW w:type="dxa" w:w="3000"/>
            <w:shd w:fill="F5F5F0" w:val="clear"/>
            <w:tcMar>
              <w:top w:type="dxa" w:w="80"/>
              <w:left w:type="dxa" w:w="100"/>
              <w:bottom w:type="dxa" w:w="80"/>
              <w:right w:type="dxa" w:w="100"/>
            </w:tcMar>
          </w:tcPr>
          <w:p>
            <w:r>
              <w:rPr>
                <w:b w:val="false"/>
                <w:bCs w:val="false"/>
                <w:color w:val="000000"/>
                <w:sz w:val="18"/>
                <w:szCs w:val="18"/>
              </w:rPr>
              <w:t xml:space="preserve">Workflow orchestration</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Flag blockers, handoffs and overdue approvals</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Marketing Operations Director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5B5B" w:sz="4"/>
              <w:left w:val="single" w:color="A65B5B" w:sz="4"/>
              <w:bottom w:val="single" w:color="A65B5B" w:sz="4"/>
              <w:right w:val="single" w:color="A65B5B" w:sz="4"/>
            </w:tcBorders>
            <w:shd w:fill="F7E9E9" w:val="clear"/>
            <w:tcMar>
              <w:top w:type="dxa" w:w="160"/>
              <w:left w:type="dxa" w:w="220"/>
              <w:bottom w:type="dxa" w:w="160"/>
              <w:right w:type="dxa" w:w="220"/>
            </w:tcMar>
          </w:tcPr>
          <w:p>
            <w:pPr>
              <w:spacing w:after="100"/>
            </w:pPr>
            <w:r>
              <w:rPr>
                <w:b/>
                <w:bCs/>
                <w:sz w:val="20"/>
                <w:szCs w:val="20"/>
              </w:rPr>
              <w:t xml:space="preserve">Risk flag: carried forward from Section 3</w:t>
            </w:r>
          </w:p>
          <w:p>
            <w:pPr>
              <w:pStyle w:val="ListParagraph"/>
              <w:numPr>
                <w:ilvl w:val="0"/>
                <w:numId w:val="1"/>
              </w:numPr>
              <w:spacing w:after="60"/>
            </w:pPr>
            <w:r>
              <w:t xml:space="preserve">WF11 and WF12 have no Accountable owner to carry into a future-state RACI. Do not invent one. Section 3's recommendation stands: assign owners before either is added to this table.</w:t>
            </w:r>
          </w:p>
        </w:tc>
      </w:tr>
    </w:tbl>
    <w:p>
      <w:pPr>
        <w:pStyle w:val="Heading1"/>
        <w:spacing w:after="160" w:before="360"/>
      </w:pPr>
      <w:r>
        <w:t xml:space="preserve">8. Technology Recommendations</w:t>
      </w:r>
    </w:p>
    <w:p>
      <w:pPr>
        <w:spacing w:after="160"/>
      </w:pPr>
      <w:r>
        <w:rPr>
          <w:b w:val="false"/>
          <w:bCs w:val="false"/>
          <w:i w:val="false"/>
          <w:iCs w:val="false"/>
          <w:sz w:val="21"/>
          <w:szCs w:val="21"/>
        </w:rPr>
        <w:t xml:space="preserve">Recommendations below use the source data's own recommendation candidates, validation questions and stated risk-if-unclear, refined into a decision-ready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1F2937" w:val="clear"/>
            <w:tcMar>
              <w:top w:type="dxa" w:w="80"/>
              <w:left w:type="dxa" w:w="100"/>
              <w:bottom w:type="dxa" w:w="80"/>
              <w:right w:type="dxa" w:w="100"/>
            </w:tcMar>
          </w:tcPr>
          <w:p>
            <w:r>
              <w:rPr>
                <w:b/>
                <w:bCs/>
                <w:color w:val="FFFFFF"/>
                <w:sz w:val="18"/>
                <w:szCs w:val="18"/>
              </w:rPr>
              <w:t xml:space="preserve">Tool</w:t>
            </w:r>
          </w:p>
        </w:tc>
        <w:tc>
          <w:tcPr>
            <w:tcW w:type="dxa" w:w="2000"/>
            <w:shd w:fill="1F2937" w:val="clear"/>
            <w:tcMar>
              <w:top w:type="dxa" w:w="80"/>
              <w:left w:type="dxa" w:w="100"/>
              <w:bottom w:type="dxa" w:w="80"/>
              <w:right w:type="dxa" w:w="100"/>
            </w:tcMar>
          </w:tcPr>
          <w:p>
            <w:r>
              <w:rPr>
                <w:b/>
                <w:bCs/>
                <w:color w:val="FFFFFF"/>
                <w:sz w:val="18"/>
                <w:szCs w:val="18"/>
              </w:rPr>
              <w:t xml:space="preserve">Decision</w:t>
            </w:r>
          </w:p>
        </w:tc>
        <w:tc>
          <w:tcPr>
            <w:tcW w:type="dxa" w:w="4860"/>
            <w:shd w:fill="1F2937" w:val="clear"/>
            <w:tcMar>
              <w:top w:type="dxa" w:w="80"/>
              <w:left w:type="dxa" w:w="100"/>
              <w:bottom w:type="dxa" w:w="80"/>
              <w:right w:type="dxa" w:w="100"/>
            </w:tcMar>
          </w:tcPr>
          <w:p>
            <w:r>
              <w:rPr>
                <w:b/>
                <w:bCs/>
                <w:color w:val="FFFFFF"/>
                <w:sz w:val="18"/>
                <w:szCs w:val="18"/>
              </w:rPr>
              <w:t xml:space="preserve">Why</w:t>
            </w:r>
          </w:p>
        </w:tc>
      </w:tr>
      <w:tr>
        <w:tc>
          <w:tcPr>
            <w:tcW w:type="dxa" w:w="2500"/>
            <w:tcMar>
              <w:top w:type="dxa" w:w="80"/>
              <w:left w:type="dxa" w:w="100"/>
              <w:bottom w:type="dxa" w:w="80"/>
              <w:right w:type="dxa" w:w="100"/>
            </w:tcMar>
          </w:tcPr>
          <w:p>
            <w:r>
              <w:rPr>
                <w:b w:val="false"/>
                <w:bCs w:val="false"/>
                <w:color w:val="000000"/>
                <w:sz w:val="18"/>
                <w:szCs w:val="18"/>
              </w:rPr>
              <w:t xml:space="preserve">Nexa Control Room</w:t>
            </w:r>
          </w:p>
        </w:tc>
        <w:tc>
          <w:tcPr>
            <w:tcW w:type="dxa" w:w="2000"/>
            <w:tcMar>
              <w:top w:type="dxa" w:w="80"/>
              <w:left w:type="dxa" w:w="100"/>
              <w:bottom w:type="dxa" w:w="80"/>
              <w:right w:type="dxa" w:w="100"/>
            </w:tcMar>
          </w:tcPr>
          <w:p>
            <w:r>
              <w:rPr>
                <w:b w:val="false"/>
                <w:bCs w:val="false"/>
                <w:color w:val="000000"/>
                <w:sz w:val="18"/>
                <w:szCs w:val="18"/>
              </w:rPr>
              <w:t xml:space="preserve">Keep, extend</w:t>
            </w:r>
          </w:p>
        </w:tc>
        <w:tc>
          <w:tcPr>
            <w:tcW w:type="dxa" w:w="4860"/>
            <w:tcMar>
              <w:top w:type="dxa" w:w="80"/>
              <w:left w:type="dxa" w:w="100"/>
              <w:bottom w:type="dxa" w:w="80"/>
              <w:right w:type="dxa" w:w="100"/>
            </w:tcMar>
          </w:tcPr>
          <w:p>
            <w:r>
              <w:rPr>
                <w:b w:val="false"/>
                <w:bCs w:val="false"/>
                <w:color w:val="000000"/>
                <w:sz w:val="18"/>
                <w:szCs w:val="18"/>
              </w:rPr>
              <w:t xml:space="preserve">Already the production status view for WF08/WF10. Extend to become the single operational status layer once FlowGrid integration is confirmed.</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FlowGrid Orchestration</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Keep</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Native connectors across the four Wave 1 workflows already. Enforce mandatory brief/metadata fields at the routing layer, not after.</w:t>
            </w:r>
          </w:p>
        </w:tc>
      </w:tr>
      <w:tr>
        <w:tc>
          <w:tcPr>
            <w:tcW w:type="dxa" w:w="2500"/>
            <w:tcMar>
              <w:top w:type="dxa" w:w="80"/>
              <w:left w:type="dxa" w:w="100"/>
              <w:bottom w:type="dxa" w:w="80"/>
              <w:right w:type="dxa" w:w="100"/>
            </w:tcMar>
          </w:tcPr>
          <w:p>
            <w:r>
              <w:rPr>
                <w:b w:val="false"/>
                <w:bCs w:val="false"/>
                <w:color w:val="000000"/>
                <w:sz w:val="18"/>
                <w:szCs w:val="18"/>
              </w:rPr>
              <w:t xml:space="preserve">Enterprise AI Hub</w:t>
            </w:r>
          </w:p>
        </w:tc>
        <w:tc>
          <w:tcPr>
            <w:tcW w:type="dxa" w:w="2000"/>
            <w:tcMar>
              <w:top w:type="dxa" w:w="80"/>
              <w:left w:type="dxa" w:w="100"/>
              <w:bottom w:type="dxa" w:w="80"/>
              <w:right w:type="dxa" w:w="100"/>
            </w:tcMar>
          </w:tcPr>
          <w:p>
            <w:r>
              <w:rPr>
                <w:b w:val="false"/>
                <w:bCs w:val="false"/>
                <w:color w:val="000000"/>
                <w:sz w:val="18"/>
                <w:szCs w:val="18"/>
              </w:rPr>
              <w:t xml:space="preserve">Keep, add governance</w:t>
            </w:r>
          </w:p>
        </w:tc>
        <w:tc>
          <w:tcPr>
            <w:tcW w:type="dxa" w:w="4860"/>
            <w:tcMar>
              <w:top w:type="dxa" w:w="80"/>
              <w:left w:type="dxa" w:w="100"/>
              <w:bottom w:type="dxa" w:w="80"/>
              <w:right w:type="dxa" w:w="100"/>
            </w:tcMar>
          </w:tcPr>
          <w:p>
            <w:r>
              <w:rPr>
                <w:b w:val="false"/>
                <w:bCs w:val="false"/>
                <w:color w:val="000000"/>
                <w:sz w:val="18"/>
                <w:szCs w:val="18"/>
              </w:rPr>
              <w:t xml:space="preserve">Approved and logged, but SSO-only with no deep workflow integration. Needs a workflow-by-workflow decision on where logged AI assistance is required versus ad hoc use.</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ClaimSafe Review</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Keep, integrate upstream</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Currently manual-upload, late-stage. For a beauty brand this needs to move into brief and asset review, not stay a final gate. Ties to Risk R02.</w:t>
            </w:r>
          </w:p>
        </w:tc>
      </w:tr>
      <w:tr>
        <w:tc>
          <w:tcPr>
            <w:tcW w:type="dxa" w:w="2500"/>
            <w:tcMar>
              <w:top w:type="dxa" w:w="80"/>
              <w:left w:type="dxa" w:w="100"/>
              <w:bottom w:type="dxa" w:w="80"/>
              <w:right w:type="dxa" w:w="100"/>
            </w:tcMar>
          </w:tcPr>
          <w:p>
            <w:r>
              <w:rPr>
                <w:b w:val="false"/>
                <w:bCs w:val="false"/>
                <w:color w:val="000000"/>
                <w:sz w:val="18"/>
                <w:szCs w:val="18"/>
              </w:rPr>
              <w:t xml:space="preserve">AssetVault DAM</w:t>
            </w:r>
          </w:p>
        </w:tc>
        <w:tc>
          <w:tcPr>
            <w:tcW w:type="dxa" w:w="2000"/>
            <w:tcMar>
              <w:top w:type="dxa" w:w="80"/>
              <w:left w:type="dxa" w:w="100"/>
              <w:bottom w:type="dxa" w:w="80"/>
              <w:right w:type="dxa" w:w="100"/>
            </w:tcMar>
          </w:tcPr>
          <w:p>
            <w:r>
              <w:rPr>
                <w:b w:val="false"/>
                <w:bCs w:val="false"/>
                <w:color w:val="000000"/>
                <w:sz w:val="18"/>
                <w:szCs w:val="18"/>
              </w:rPr>
              <w:t xml:space="preserve">Keep, enforce metadata</w:t>
            </w:r>
          </w:p>
        </w:tc>
        <w:tc>
          <w:tcPr>
            <w:tcW w:type="dxa" w:w="4860"/>
            <w:tcMar>
              <w:top w:type="dxa" w:w="80"/>
              <w:left w:type="dxa" w:w="100"/>
              <w:bottom w:type="dxa" w:w="80"/>
              <w:right w:type="dxa" w:w="100"/>
            </w:tcMar>
          </w:tcPr>
          <w:p>
            <w:r>
              <w:rPr>
                <w:b w:val="false"/>
                <w:bCs w:val="false"/>
                <w:color w:val="000000"/>
                <w:sz w:val="18"/>
                <w:szCs w:val="18"/>
              </w:rPr>
              <w:t xml:space="preserve">API-available and validated, but only 46% of assets carry complete metadata. That is a governance gap, not a tooling gap.</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ProductSphere PIM</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Keep</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High confidence, validated, API-available. Map claims data into brief and compliance checks rather than treating PIM and creative approval as separate systems.</w:t>
            </w:r>
          </w:p>
        </w:tc>
      </w:tr>
      <w:tr>
        <w:tc>
          <w:tcPr>
            <w:tcW w:type="dxa" w:w="2500"/>
            <w:tcMar>
              <w:top w:type="dxa" w:w="80"/>
              <w:left w:type="dxa" w:w="100"/>
              <w:bottom w:type="dxa" w:w="80"/>
              <w:right w:type="dxa" w:w="100"/>
            </w:tcMar>
          </w:tcPr>
          <w:p>
            <w:r>
              <w:rPr>
                <w:b w:val="false"/>
                <w:bCs w:val="false"/>
                <w:color w:val="000000"/>
                <w:sz w:val="18"/>
                <w:szCs w:val="18"/>
              </w:rPr>
              <w:t xml:space="preserve">Creative Taxonomy v1</w:t>
            </w:r>
          </w:p>
        </w:tc>
        <w:tc>
          <w:tcPr>
            <w:tcW w:type="dxa" w:w="2000"/>
            <w:tcMar>
              <w:top w:type="dxa" w:w="80"/>
              <w:left w:type="dxa" w:w="100"/>
              <w:bottom w:type="dxa" w:w="80"/>
              <w:right w:type="dxa" w:w="100"/>
            </w:tcMar>
          </w:tcPr>
          <w:p>
            <w:r>
              <w:rPr>
                <w:b w:val="false"/>
                <w:bCs w:val="false"/>
                <w:color w:val="000000"/>
                <w:sz w:val="18"/>
                <w:szCs w:val="18"/>
              </w:rPr>
              <w:t xml:space="preserve">Refresh, govern</w:t>
            </w:r>
          </w:p>
        </w:tc>
        <w:tc>
          <w:tcPr>
            <w:tcW w:type="dxa" w:w="4860"/>
            <w:tcMar>
              <w:top w:type="dxa" w:w="80"/>
              <w:left w:type="dxa" w:w="100"/>
              <w:bottom w:type="dxa" w:w="80"/>
              <w:right w:type="dxa" w:w="100"/>
            </w:tcMar>
          </w:tcPr>
          <w:p>
            <w:r>
              <w:rPr>
                <w:b w:val="false"/>
                <w:bCs w:val="false"/>
                <w:color w:val="000000"/>
                <w:sz w:val="18"/>
                <w:szCs w:val="18"/>
              </w:rPr>
              <w:t xml:space="preserve">Currently a static spreadsheet, not mapped to DAM or PIM. Low confidence. Needs a decision on required taxonomy depth before Wave 2 reporting work starts.</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Content Cost Calculator</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Rebuild as governed model</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Currently spreadsheet-based and disconnected from real PO and production actuals. The commercial model in Section 11 cannot mature past directional until this is rebuilt.</w:t>
            </w:r>
          </w:p>
        </w:tc>
      </w:tr>
      <w:tr>
        <w:tc>
          <w:tcPr>
            <w:tcW w:type="dxa" w:w="2500"/>
            <w:tcMar>
              <w:top w:type="dxa" w:w="80"/>
              <w:left w:type="dxa" w:w="100"/>
              <w:bottom w:type="dxa" w:w="80"/>
              <w:right w:type="dxa" w:w="100"/>
            </w:tcMar>
          </w:tcPr>
          <w:p>
            <w:r>
              <w:rPr>
                <w:b w:val="false"/>
                <w:bCs w:val="false"/>
                <w:color w:val="000000"/>
                <w:sz w:val="18"/>
                <w:szCs w:val="18"/>
              </w:rPr>
              <w:t xml:space="preserve">VidioGen A / VidioGen B</w:t>
            </w:r>
          </w:p>
        </w:tc>
        <w:tc>
          <w:tcPr>
            <w:tcW w:type="dxa" w:w="2000"/>
            <w:tcMar>
              <w:top w:type="dxa" w:w="80"/>
              <w:left w:type="dxa" w:w="100"/>
              <w:bottom w:type="dxa" w:w="80"/>
              <w:right w:type="dxa" w:w="100"/>
            </w:tcMar>
          </w:tcPr>
          <w:p>
            <w:r>
              <w:rPr>
                <w:b w:val="false"/>
                <w:bCs w:val="false"/>
                <w:color w:val="000000"/>
                <w:sz w:val="18"/>
                <w:szCs w:val="18"/>
              </w:rPr>
              <w:t xml:space="preserve">Consolidate to one</w:t>
            </w:r>
          </w:p>
        </w:tc>
        <w:tc>
          <w:tcPr>
            <w:tcW w:type="dxa" w:w="4860"/>
            <w:tcMar>
              <w:top w:type="dxa" w:w="80"/>
              <w:left w:type="dxa" w:w="100"/>
              <w:bottom w:type="dxa" w:w="80"/>
              <w:right w:type="dxa" w:w="100"/>
            </w:tcMar>
          </w:tcPr>
          <w:p>
            <w:r>
              <w:rPr>
                <w:b w:val="false"/>
                <w:bCs w:val="false"/>
                <w:color w:val="000000"/>
                <w:sz w:val="18"/>
                <w:szCs w:val="18"/>
              </w:rPr>
              <w:t xml:space="preserve">Two standalone AI video generation tools, GBP 6,400 and 3,900/month, Low confidence on both. Confirm distinct use case or retire one. See Section 5 recommendation.</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PersonaDub / LocalVoice AI</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Consolidate to one</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Overlapping avatar/dubbing capability, GBP 5,100 and 4,400/month. Same consolidation logic as above.</w:t>
            </w:r>
          </w:p>
        </w:tc>
      </w:tr>
      <w:tr>
        <w:tc>
          <w:tcPr>
            <w:tcW w:type="dxa" w:w="2500"/>
            <w:tcMar>
              <w:top w:type="dxa" w:w="80"/>
              <w:left w:type="dxa" w:w="100"/>
              <w:bottom w:type="dxa" w:w="80"/>
              <w:right w:type="dxa" w:w="100"/>
            </w:tcMar>
          </w:tcPr>
          <w:p>
            <w:r>
              <w:rPr>
                <w:b w:val="false"/>
                <w:bCs w:val="false"/>
                <w:color w:val="000000"/>
                <w:sz w:val="18"/>
                <w:szCs w:val="18"/>
              </w:rPr>
              <w:t xml:space="preserve">EditPro Studio</w:t>
            </w:r>
          </w:p>
        </w:tc>
        <w:tc>
          <w:tcPr>
            <w:tcW w:type="dxa" w:w="2000"/>
            <w:tcMar>
              <w:top w:type="dxa" w:w="80"/>
              <w:left w:type="dxa" w:w="100"/>
              <w:bottom w:type="dxa" w:w="80"/>
              <w:right w:type="dxa" w:w="100"/>
            </w:tcMar>
          </w:tcPr>
          <w:p>
            <w:r>
              <w:rPr>
                <w:b w:val="false"/>
                <w:bCs w:val="false"/>
                <w:color w:val="000000"/>
                <w:sz w:val="18"/>
                <w:szCs w:val="18"/>
              </w:rPr>
              <w:t xml:space="preserve">Keep</w:t>
            </w:r>
          </w:p>
        </w:tc>
        <w:tc>
          <w:tcPr>
            <w:tcW w:type="dxa" w:w="4860"/>
            <w:tcMar>
              <w:top w:type="dxa" w:w="80"/>
              <w:left w:type="dxa" w:w="100"/>
              <w:bottom w:type="dxa" w:w="80"/>
              <w:right w:type="dxa" w:w="100"/>
            </w:tcMar>
          </w:tcPr>
          <w:p>
            <w:r>
              <w:rPr>
                <w:b w:val="false"/>
                <w:bCs w:val="false"/>
                <w:color w:val="000000"/>
                <w:sz w:val="18"/>
                <w:szCs w:val="18"/>
              </w:rPr>
              <w:t xml:space="preserve">High confidence, validated, core post-production infrastructure. Export project metadata into DAM automatically rather than leaving post-production disconnected.</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ImageForge AI</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Keep, with guardrails</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Approved for concepting only, not final assets. Define and enforce that boundary explicitly before Wave 1, given brand and IP exposure.</w:t>
            </w:r>
          </w:p>
        </w:tc>
      </w:tr>
      <w:tr>
        <w:tc>
          <w:tcPr>
            <w:tcW w:type="dxa" w:w="2500"/>
            <w:tcMar>
              <w:top w:type="dxa" w:w="80"/>
              <w:left w:type="dxa" w:w="100"/>
              <w:bottom w:type="dxa" w:w="80"/>
              <w:right w:type="dxa" w:w="100"/>
            </w:tcMar>
          </w:tcPr>
          <w:p>
            <w:r>
              <w:rPr>
                <w:b w:val="false"/>
                <w:bCs w:val="false"/>
                <w:color w:val="000000"/>
                <w:sz w:val="18"/>
                <w:szCs w:val="18"/>
              </w:rPr>
              <w:t xml:space="preserve">Multi-LLM Access</w:t>
            </w:r>
          </w:p>
        </w:tc>
        <w:tc>
          <w:tcPr>
            <w:tcW w:type="dxa" w:w="2000"/>
            <w:tcMar>
              <w:top w:type="dxa" w:w="80"/>
              <w:left w:type="dxa" w:w="100"/>
              <w:bottom w:type="dxa" w:w="80"/>
              <w:right w:type="dxa" w:w="100"/>
            </w:tcMar>
          </w:tcPr>
          <w:p>
            <w:r>
              <w:rPr>
                <w:b w:val="false"/>
                <w:bCs w:val="false"/>
                <w:color w:val="000000"/>
                <w:sz w:val="18"/>
                <w:szCs w:val="18"/>
              </w:rPr>
              <w:t xml:space="preserve">Govern, rationalise</w:t>
            </w:r>
          </w:p>
        </w:tc>
        <w:tc>
          <w:tcPr>
            <w:tcW w:type="dxa" w:w="4860"/>
            <w:tcMar>
              <w:top w:type="dxa" w:w="80"/>
              <w:left w:type="dxa" w:w="100"/>
              <w:bottom w:type="dxa" w:w="80"/>
              <w:right w:type="dxa" w:w="100"/>
            </w:tcMar>
          </w:tcPr>
          <w:p>
            <w:r>
              <w:rPr>
                <w:b w:val="false"/>
                <w:bCs w:val="false"/>
                <w:color w:val="000000"/>
                <w:sz w:val="18"/>
                <w:szCs w:val="18"/>
              </w:rPr>
              <w:t xml:space="preserve">Mix of Enterprise AI Hub plus ad hoc team subscriptions. Lowest confidence of any tool in the stack (Low). This is where shadow AI risk concentrates. Priority validation item.</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WorkTrack PM</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Keep, or fold into FlowGrid</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High confidence, validated, but not integrated with DAM or PIM. Decide once, either it stays the PM layer or gets absorbed into FlowGrid. Running both indefinitely guarantees duplicate status tracking.</w:t>
            </w:r>
          </w:p>
        </w:tc>
      </w:tr>
      <w:tr>
        <w:tc>
          <w:tcPr>
            <w:tcW w:type="dxa" w:w="2500"/>
            <w:tcMar>
              <w:top w:type="dxa" w:w="80"/>
              <w:left w:type="dxa" w:w="100"/>
              <w:bottom w:type="dxa" w:w="80"/>
              <w:right w:type="dxa" w:w="100"/>
            </w:tcMar>
          </w:tcPr>
          <w:p>
            <w:r>
              <w:rPr>
                <w:b w:val="false"/>
                <w:bCs w:val="false"/>
                <w:color w:val="000000"/>
                <w:sz w:val="18"/>
                <w:szCs w:val="18"/>
              </w:rPr>
              <w:t xml:space="preserve">RetailFeed Manager</w:t>
            </w:r>
          </w:p>
        </w:tc>
        <w:tc>
          <w:tcPr>
            <w:tcW w:type="dxa" w:w="2000"/>
            <w:tcMar>
              <w:top w:type="dxa" w:w="80"/>
              <w:left w:type="dxa" w:w="100"/>
              <w:bottom w:type="dxa" w:w="80"/>
              <w:right w:type="dxa" w:w="100"/>
            </w:tcMar>
          </w:tcPr>
          <w:p>
            <w:r>
              <w:rPr>
                <w:b w:val="false"/>
                <w:bCs w:val="false"/>
                <w:color w:val="000000"/>
                <w:sz w:val="18"/>
                <w:szCs w:val="18"/>
              </w:rPr>
              <w:t xml:space="preserve">Keep</w:t>
            </w:r>
          </w:p>
        </w:tc>
        <w:tc>
          <w:tcPr>
            <w:tcW w:type="dxa" w:w="4860"/>
            <w:tcMar>
              <w:top w:type="dxa" w:w="80"/>
              <w:left w:type="dxa" w:w="100"/>
              <w:bottom w:type="dxa" w:w="80"/>
              <w:right w:type="dxa" w:w="100"/>
            </w:tcMar>
          </w:tcPr>
          <w:p>
            <w:r>
              <w:rPr>
                <w:b w:val="false"/>
                <w:bCs w:val="false"/>
                <w:color w:val="000000"/>
                <w:sz w:val="18"/>
                <w:szCs w:val="18"/>
              </w:rPr>
              <w:t xml:space="preserve">High confidence, validated. Feed DAM/PIM metadata through to reduce the retailer rejection rate that is currently holding WF11's SLA achievement at 62%.</w:t>
            </w:r>
          </w:p>
        </w:tc>
      </w:tr>
      <w:tr>
        <w:tc>
          <w:tcPr>
            <w:tcW w:type="dxa" w:w="2500"/>
            <w:shd w:fill="F5F5F0" w:val="clear"/>
            <w:tcMar>
              <w:top w:type="dxa" w:w="80"/>
              <w:left w:type="dxa" w:w="100"/>
              <w:bottom w:type="dxa" w:w="80"/>
              <w:right w:type="dxa" w:w="100"/>
            </w:tcMar>
          </w:tcPr>
          <w:p>
            <w:r>
              <w:rPr>
                <w:b w:val="false"/>
                <w:bCs w:val="false"/>
                <w:color w:val="000000"/>
                <w:sz w:val="18"/>
                <w:szCs w:val="18"/>
              </w:rPr>
              <w:t xml:space="preserve">InsightBoard BI</w:t>
            </w:r>
          </w:p>
        </w:tc>
        <w:tc>
          <w:tcPr>
            <w:tcW w:type="dxa" w:w="2000"/>
            <w:shd w:fill="F5F5F0" w:val="clear"/>
            <w:tcMar>
              <w:top w:type="dxa" w:w="80"/>
              <w:left w:type="dxa" w:w="100"/>
              <w:bottom w:type="dxa" w:w="80"/>
              <w:right w:type="dxa" w:w="100"/>
            </w:tcMar>
          </w:tcPr>
          <w:p>
            <w:r>
              <w:rPr>
                <w:b w:val="false"/>
                <w:bCs w:val="false"/>
                <w:color w:val="000000"/>
                <w:sz w:val="18"/>
                <w:szCs w:val="18"/>
              </w:rPr>
              <w:t xml:space="preserve">Keep, automate narrative layer</w:t>
            </w:r>
          </w:p>
        </w:tc>
        <w:tc>
          <w:tcPr>
            <w:tcW w:type="dxa" w:w="4860"/>
            <w:shd w:fill="F5F5F0" w:val="clear"/>
            <w:tcMar>
              <w:top w:type="dxa" w:w="80"/>
              <w:left w:type="dxa" w:w="100"/>
              <w:bottom w:type="dxa" w:w="80"/>
              <w:right w:type="dxa" w:w="100"/>
            </w:tcMar>
          </w:tcPr>
          <w:p>
            <w:r>
              <w:rPr>
                <w:b w:val="false"/>
                <w:bCs w:val="false"/>
                <w:color w:val="000000"/>
                <w:sz w:val="18"/>
                <w:szCs w:val="18"/>
              </w:rPr>
              <w:t xml:space="preserve">Validated data aggregation. AI-generated summary layer is viable once the specific metrics trusted for automation are confirmed, not before.</w:t>
            </w:r>
          </w:p>
        </w:tc>
      </w:tr>
    </w:tbl>
    <w:p>
      <w:pPr>
        <w:pStyle w:val="Heading1"/>
        <w:spacing w:after="160" w:before="360"/>
      </w:pPr>
      <w:r>
        <w:t xml:space="preserve">9. KPI Model and Benchmarks</w:t>
      </w:r>
    </w:p>
    <w:p>
      <w:pPr>
        <w:spacing w:after="160"/>
      </w:pPr>
      <w:r>
        <w:rPr>
          <w:b w:val="false"/>
          <w:bCs w:val="false"/>
          <w:i w:val="false"/>
          <w:iCs w:val="false"/>
          <w:sz w:val="21"/>
          <w:szCs w:val="21"/>
        </w:rPr>
        <w:t xml:space="preserve">Public benchmark figures are drawn only from the sourced benchmark table. Where no public benchmark exists for a client KPI, that is stated rather than a figure invented.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5B5B" w:sz="4"/>
              <w:left w:val="single" w:color="A65B5B" w:sz="4"/>
              <w:bottom w:val="single" w:color="A65B5B" w:sz="4"/>
              <w:right w:val="single" w:color="A65B5B" w:sz="4"/>
            </w:tcBorders>
            <w:shd w:fill="F7E9E9" w:val="clear"/>
            <w:tcMar>
              <w:top w:type="dxa" w:w="160"/>
              <w:left w:type="dxa" w:w="220"/>
              <w:bottom w:type="dxa" w:w="160"/>
              <w:right w:type="dxa" w:w="220"/>
            </w:tcMar>
          </w:tcPr>
          <w:p>
            <w:pPr>
              <w:spacing w:after="100"/>
            </w:pPr>
            <w:r>
              <w:rPr>
                <w:b/>
                <w:bCs/>
                <w:sz w:val="20"/>
                <w:szCs w:val="20"/>
              </w:rPr>
              <w:t xml:space="preserve">Benchmark status: none client-ready yet</w:t>
            </w:r>
          </w:p>
          <w:p>
            <w:pPr>
              <w:pStyle w:val="ListParagraph"/>
              <w:numPr>
                <w:ilvl w:val="0"/>
                <w:numId w:val="1"/>
              </w:numPr>
              <w:spacing w:after="60"/>
            </w:pPr>
            <w:r>
              <w:t xml:space="preserve">Every benchmark below is Secondary/internal status: a named primary source is cited, but none has been traced and signed off against the original report yet. No figure in this table currently qualifies as Primary verified.</w:t>
            </w:r>
          </w:p>
          <w:p>
            <w:pPr>
              <w:pStyle w:val="ListParagraph"/>
              <w:numPr>
                <w:ilvl w:val="0"/>
                <w:numId w:val="1"/>
              </w:numPr>
              <w:spacing w:after="60"/>
            </w:pPr>
            <w:r>
              <w:t xml:space="preserve">This document is labelled internal test, not client delivery, precisely because of this. It must not be relabelled for client use until the benchmark table sign-off happens.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900"/>
        <w:gridCol w:w="1660"/>
      </w:tblGrid>
      <w:tr>
        <w:trPr>
          <w:tblHeader/>
        </w:trPr>
        <w:tc>
          <w:tcPr>
            <w:tcW w:type="dxa" w:w="1700"/>
            <w:shd w:fill="1F2937" w:val="clear"/>
            <w:tcMar>
              <w:top w:type="dxa" w:w="80"/>
              <w:left w:type="dxa" w:w="100"/>
              <w:bottom w:type="dxa" w:w="80"/>
              <w:right w:type="dxa" w:w="100"/>
            </w:tcMar>
          </w:tcPr>
          <w:p>
            <w:r>
              <w:rPr>
                <w:b/>
                <w:bCs/>
                <w:color w:val="FFFFFF"/>
                <w:sz w:val="18"/>
                <w:szCs w:val="18"/>
              </w:rPr>
              <w:t xml:space="preserve">KPI</w:t>
            </w:r>
          </w:p>
        </w:tc>
        <w:tc>
          <w:tcPr>
            <w:tcW w:type="dxa" w:w="1900"/>
            <w:shd w:fill="1F2937" w:val="clear"/>
            <w:tcMar>
              <w:top w:type="dxa" w:w="80"/>
              <w:left w:type="dxa" w:w="100"/>
              <w:bottom w:type="dxa" w:w="80"/>
              <w:right w:type="dxa" w:w="100"/>
            </w:tcMar>
          </w:tcPr>
          <w:p>
            <w:r>
              <w:rPr>
                <w:b/>
                <w:bCs/>
                <w:color w:val="FFFFFF"/>
                <w:sz w:val="18"/>
                <w:szCs w:val="18"/>
              </w:rPr>
              <w:t xml:space="preserve">Client baseline/target</w:t>
            </w:r>
          </w:p>
        </w:tc>
        <w:tc>
          <w:tcPr>
            <w:tcW w:type="dxa" w:w="2200"/>
            <w:shd w:fill="1F2937" w:val="clear"/>
            <w:tcMar>
              <w:top w:type="dxa" w:w="80"/>
              <w:left w:type="dxa" w:w="100"/>
              <w:bottom w:type="dxa" w:w="80"/>
              <w:right w:type="dxa" w:w="100"/>
            </w:tcMar>
          </w:tcPr>
          <w:p>
            <w:r>
              <w:rPr>
                <w:b/>
                <w:bCs/>
                <w:color w:val="FFFFFF"/>
                <w:sz w:val="18"/>
                <w:szCs w:val="18"/>
              </w:rPr>
              <w:t xml:space="preserve">Public benchmark</w:t>
            </w:r>
          </w:p>
        </w:tc>
        <w:tc>
          <w:tcPr>
            <w:tcW w:type="dxa" w:w="1900"/>
            <w:shd w:fill="1F2937" w:val="clear"/>
            <w:tcMar>
              <w:top w:type="dxa" w:w="80"/>
              <w:left w:type="dxa" w:w="100"/>
              <w:bottom w:type="dxa" w:w="80"/>
              <w:right w:type="dxa" w:w="100"/>
            </w:tcMar>
          </w:tcPr>
          <w:p>
            <w:r>
              <w:rPr>
                <w:b/>
                <w:bCs/>
                <w:color w:val="FFFFFF"/>
                <w:sz w:val="18"/>
                <w:szCs w:val="18"/>
              </w:rPr>
              <w:t xml:space="preserve">Status</w:t>
            </w:r>
          </w:p>
        </w:tc>
        <w:tc>
          <w:tcPr>
            <w:tcW w:type="dxa" w:w="1660"/>
            <w:shd w:fill="1F2937" w:val="clear"/>
            <w:tcMar>
              <w:top w:type="dxa" w:w="80"/>
              <w:left w:type="dxa" w:w="100"/>
              <w:bottom w:type="dxa" w:w="80"/>
              <w:right w:type="dxa" w:w="100"/>
            </w:tcMar>
          </w:tcPr>
          <w:p>
            <w:r>
              <w:rPr>
                <w:b/>
                <w:bCs/>
                <w:color w:val="FFFFFF"/>
                <w:sz w:val="18"/>
                <w:szCs w:val="18"/>
              </w:rPr>
              <w:t xml:space="preserve">Read</w:t>
            </w:r>
          </w:p>
        </w:tc>
      </w:tr>
      <w:tr>
        <w:tc>
          <w:tcPr>
            <w:tcW w:type="dxa" w:w="1700"/>
            <w:tcMar>
              <w:top w:type="dxa" w:w="80"/>
              <w:left w:type="dxa" w:w="100"/>
              <w:bottom w:type="dxa" w:w="80"/>
              <w:right w:type="dxa" w:w="100"/>
            </w:tcMar>
          </w:tcPr>
          <w:p>
            <w:r>
              <w:rPr>
                <w:b w:val="false"/>
                <w:bCs w:val="false"/>
                <w:color w:val="000000"/>
                <w:sz w:val="18"/>
                <w:szCs w:val="18"/>
              </w:rPr>
              <w:t xml:space="preserve">Production spend reduction</w:t>
            </w:r>
          </w:p>
        </w:tc>
        <w:tc>
          <w:tcPr>
            <w:tcW w:type="dxa" w:w="1900"/>
            <w:tcMar>
              <w:top w:type="dxa" w:w="80"/>
              <w:left w:type="dxa" w:w="100"/>
              <w:bottom w:type="dxa" w:w="80"/>
              <w:right w:type="dxa" w:w="100"/>
            </w:tcMar>
          </w:tcPr>
          <w:p>
            <w:r>
              <w:rPr>
                <w:b w:val="false"/>
                <w:bCs w:val="false"/>
                <w:color w:val="000000"/>
                <w:sz w:val="18"/>
                <w:szCs w:val="18"/>
              </w:rPr>
              <w:t xml:space="preserve">18.7 to 16.8 GBPm (10.2%)</w:t>
            </w:r>
          </w:p>
        </w:tc>
        <w:tc>
          <w:tcPr>
            <w:tcW w:type="dxa" w:w="2200"/>
            <w:tcMar>
              <w:top w:type="dxa" w:w="80"/>
              <w:left w:type="dxa" w:w="100"/>
              <w:bottom w:type="dxa" w:w="80"/>
              <w:right w:type="dxa" w:w="100"/>
            </w:tcMar>
          </w:tcPr>
          <w:p>
            <w:r>
              <w:rPr>
                <w:b w:val="false"/>
                <w:bCs w:val="false"/>
                <w:color w:val="000000"/>
                <w:sz w:val="18"/>
                <w:szCs w:val="18"/>
              </w:rPr>
              <w:t xml:space="preserve">5-15% total marketing productivity uplift (McKinsey)</w:t>
            </w:r>
          </w:p>
        </w:tc>
        <w:tc>
          <w:tcPr>
            <w:tcW w:type="dxa" w:w="1900"/>
            <w:tcMar>
              <w:top w:type="dxa" w:w="80"/>
              <w:left w:type="dxa" w:w="100"/>
              <w:bottom w:type="dxa" w:w="80"/>
              <w:right w:type="dxa" w:w="100"/>
            </w:tcMar>
          </w:tcPr>
          <w:p>
            <w:r>
              <w:rPr>
                <w:b w:val="false"/>
                <w:bCs w:val="false"/>
                <w:color w:val="000000"/>
                <w:sz w:val="18"/>
                <w:szCs w:val="18"/>
              </w:rPr>
              <w:t xml:space="preserve">Secondary/internal</w:t>
            </w:r>
          </w:p>
        </w:tc>
        <w:tc>
          <w:tcPr>
            <w:tcW w:type="dxa" w:w="1660"/>
            <w:tcMar>
              <w:top w:type="dxa" w:w="80"/>
              <w:left w:type="dxa" w:w="100"/>
              <w:bottom w:type="dxa" w:w="80"/>
              <w:right w:type="dxa" w:w="100"/>
            </w:tcMar>
          </w:tcPr>
          <w:p>
            <w:r>
              <w:rPr>
                <w:b w:val="false"/>
                <w:bCs w:val="false"/>
                <w:color w:val="000000"/>
                <w:sz w:val="18"/>
                <w:szCs w:val="18"/>
              </w:rPr>
              <w:t xml:space="preserve">Client's own target sits inside the benchmark band. Defensible as stated, once verified.</w:t>
            </w:r>
          </w:p>
        </w:tc>
      </w:tr>
      <w:tr>
        <w:tc>
          <w:tcPr>
            <w:tcW w:type="dxa" w:w="1700"/>
            <w:shd w:fill="F5F5F0" w:val="clear"/>
            <w:tcMar>
              <w:top w:type="dxa" w:w="80"/>
              <w:left w:type="dxa" w:w="100"/>
              <w:bottom w:type="dxa" w:w="80"/>
              <w:right w:type="dxa" w:w="100"/>
            </w:tcMar>
          </w:tcPr>
          <w:p>
            <w:r>
              <w:rPr>
                <w:b w:val="false"/>
                <w:bCs w:val="false"/>
                <w:color w:val="000000"/>
                <w:sz w:val="18"/>
                <w:szCs w:val="18"/>
              </w:rPr>
              <w:t xml:space="preserve">Cycle time reduction</w:t>
            </w:r>
          </w:p>
        </w:tc>
        <w:tc>
          <w:tcPr>
            <w:tcW w:type="dxa" w:w="1900"/>
            <w:shd w:fill="F5F5F0" w:val="clear"/>
            <w:tcMar>
              <w:top w:type="dxa" w:w="80"/>
              <w:left w:type="dxa" w:w="100"/>
              <w:bottom w:type="dxa" w:w="80"/>
              <w:right w:type="dxa" w:w="100"/>
            </w:tcMar>
          </w:tcPr>
          <w:p>
            <w:r>
              <w:rPr>
                <w:b w:val="false"/>
                <w:bCs w:val="false"/>
                <w:color w:val="000000"/>
                <w:sz w:val="18"/>
                <w:szCs w:val="18"/>
              </w:rPr>
              <w:t xml:space="preserve">6-stage total: 84 to 63 days</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6.1 hrs/week average time reclaimed per marketer (HubSpot)</w:t>
            </w:r>
          </w:p>
        </w:tc>
        <w:tc>
          <w:tcPr>
            <w:tcW w:type="dxa" w:w="1900"/>
            <w:shd w:fill="F5F5F0" w:val="clear"/>
            <w:tcMar>
              <w:top w:type="dxa" w:w="80"/>
              <w:left w:type="dxa" w:w="100"/>
              <w:bottom w:type="dxa" w:w="80"/>
              <w:right w:type="dxa" w:w="100"/>
            </w:tcMar>
          </w:tcPr>
          <w:p>
            <w:r>
              <w:rPr>
                <w:b w:val="false"/>
                <w:bCs w:val="false"/>
                <w:color w:val="000000"/>
                <w:sz w:val="18"/>
                <w:szCs w:val="18"/>
              </w:rPr>
              <w:t xml:space="preserve">Secondary/internal</w:t>
            </w:r>
          </w:p>
        </w:tc>
        <w:tc>
          <w:tcPr>
            <w:tcW w:type="dxa" w:w="1660"/>
            <w:shd w:fill="F5F5F0" w:val="clear"/>
            <w:tcMar>
              <w:top w:type="dxa" w:w="80"/>
              <w:left w:type="dxa" w:w="100"/>
              <w:bottom w:type="dxa" w:w="80"/>
              <w:right w:type="dxa" w:w="100"/>
            </w:tcMar>
          </w:tcPr>
          <w:p>
            <w:r>
              <w:rPr>
                <w:b w:val="false"/>
                <w:bCs w:val="false"/>
                <w:color w:val="000000"/>
                <w:sz w:val="18"/>
                <w:szCs w:val="18"/>
              </w:rPr>
              <w:t xml:space="preserve">Directionally consistent; stage-level detail is stronger evidence than the industry average alone.</w:t>
            </w:r>
          </w:p>
        </w:tc>
      </w:tr>
      <w:tr>
        <w:tc>
          <w:tcPr>
            <w:tcW w:type="dxa" w:w="1700"/>
            <w:tcMar>
              <w:top w:type="dxa" w:w="80"/>
              <w:left w:type="dxa" w:w="100"/>
              <w:bottom w:type="dxa" w:w="80"/>
              <w:right w:type="dxa" w:w="100"/>
            </w:tcMar>
          </w:tcPr>
          <w:p>
            <w:r>
              <w:rPr>
                <w:b w:val="false"/>
                <w:bCs w:val="false"/>
                <w:color w:val="000000"/>
                <w:sz w:val="18"/>
                <w:szCs w:val="18"/>
              </w:rPr>
              <w:t xml:space="preserve">AI maturity</w:t>
            </w:r>
          </w:p>
        </w:tc>
        <w:tc>
          <w:tcPr>
            <w:tcW w:type="dxa" w:w="1900"/>
            <w:tcMar>
              <w:top w:type="dxa" w:w="80"/>
              <w:left w:type="dxa" w:w="100"/>
              <w:bottom w:type="dxa" w:w="80"/>
              <w:right w:type="dxa" w:w="100"/>
            </w:tcMar>
          </w:tcPr>
          <w:p>
            <w:r>
              <w:rPr>
                <w:b w:val="false"/>
                <w:bCs w:val="false"/>
                <w:color w:val="000000"/>
                <w:sz w:val="18"/>
                <w:szCs w:val="18"/>
              </w:rPr>
              <w:t xml:space="preserve">2 of 6 divisions have a named AI champion; 0 workflows in controlled pilot</w:t>
            </w:r>
          </w:p>
        </w:tc>
        <w:tc>
          <w:tcPr>
            <w:tcW w:type="dxa" w:w="2200"/>
            <w:tcMar>
              <w:top w:type="dxa" w:w="80"/>
              <w:left w:type="dxa" w:w="100"/>
              <w:bottom w:type="dxa" w:w="80"/>
              <w:right w:type="dxa" w:w="100"/>
            </w:tcMar>
          </w:tcPr>
          <w:p>
            <w:r>
              <w:rPr>
                <w:b w:val="false"/>
                <w:bCs w:val="false"/>
                <w:color w:val="000000"/>
                <w:sz w:val="18"/>
                <w:szCs w:val="18"/>
              </w:rPr>
              <w:t xml:space="preserve">87% of marketers use GenAI in at least one workflow; 65% of teams have a designated AI role (Salesforce / Jasper)</w:t>
            </w:r>
          </w:p>
        </w:tc>
        <w:tc>
          <w:tcPr>
            <w:tcW w:type="dxa" w:w="1900"/>
            <w:tcMar>
              <w:top w:type="dxa" w:w="80"/>
              <w:left w:type="dxa" w:w="100"/>
              <w:bottom w:type="dxa" w:w="80"/>
              <w:right w:type="dxa" w:w="100"/>
            </w:tcMar>
          </w:tcPr>
          <w:p>
            <w:r>
              <w:rPr>
                <w:b w:val="false"/>
                <w:bCs w:val="false"/>
                <w:color w:val="000000"/>
                <w:sz w:val="18"/>
                <w:szCs w:val="18"/>
              </w:rPr>
              <w:t xml:space="preserve">Secondary/internal</w:t>
            </w:r>
          </w:p>
        </w:tc>
        <w:tc>
          <w:tcPr>
            <w:tcW w:type="dxa" w:w="1660"/>
            <w:tcMar>
              <w:top w:type="dxa" w:w="80"/>
              <w:left w:type="dxa" w:w="100"/>
              <w:bottom w:type="dxa" w:w="80"/>
              <w:right w:type="dxa" w:w="100"/>
            </w:tcMar>
          </w:tcPr>
          <w:p>
            <w:r>
              <w:rPr>
                <w:b w:val="false"/>
                <w:bCs w:val="false"/>
                <w:color w:val="000000"/>
                <w:sz w:val="18"/>
                <w:szCs w:val="18"/>
              </w:rPr>
              <w:t xml:space="preserve">NexaGlow is meaningfully pre-market on maturity. Useful context for Wave 1 pace, not a target to hit immediately.</w:t>
            </w:r>
          </w:p>
        </w:tc>
      </w:tr>
      <w:tr>
        <w:tc>
          <w:tcPr>
            <w:tcW w:type="dxa" w:w="1700"/>
            <w:shd w:fill="F5F5F0" w:val="clear"/>
            <w:tcMar>
              <w:top w:type="dxa" w:w="80"/>
              <w:left w:type="dxa" w:w="100"/>
              <w:bottom w:type="dxa" w:w="80"/>
              <w:right w:type="dxa" w:w="100"/>
            </w:tcMar>
          </w:tcPr>
          <w:p>
            <w:r>
              <w:rPr>
                <w:b w:val="false"/>
                <w:bCs w:val="false"/>
                <w:color w:val="000000"/>
                <w:sz w:val="18"/>
                <w:szCs w:val="18"/>
              </w:rPr>
              <w:t xml:space="preserve">Addressable savings opportunity</w:t>
            </w:r>
          </w:p>
        </w:tc>
        <w:tc>
          <w:tcPr>
            <w:tcW w:type="dxa" w:w="1900"/>
            <w:shd w:fill="F5F5F0" w:val="clear"/>
            <w:tcMar>
              <w:top w:type="dxa" w:w="80"/>
              <w:left w:type="dxa" w:w="100"/>
              <w:bottom w:type="dxa" w:w="80"/>
              <w:right w:type="dxa" w:w="100"/>
            </w:tcMar>
          </w:tcPr>
          <w:p>
            <w:r>
              <w:rPr>
                <w:b w:val="false"/>
                <w:bCs w:val="false"/>
                <w:color w:val="000000"/>
                <w:sz w:val="18"/>
                <w:szCs w:val="18"/>
              </w:rPr>
              <w:t xml:space="preserve">GBP 2.3m identified, GBP 1.2m targeted</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5-15% total marketing productivity uplift ceiling (McKinsey)</w:t>
            </w:r>
          </w:p>
        </w:tc>
        <w:tc>
          <w:tcPr>
            <w:tcW w:type="dxa" w:w="1900"/>
            <w:shd w:fill="F5F5F0" w:val="clear"/>
            <w:tcMar>
              <w:top w:type="dxa" w:w="80"/>
              <w:left w:type="dxa" w:w="100"/>
              <w:bottom w:type="dxa" w:w="80"/>
              <w:right w:type="dxa" w:w="100"/>
            </w:tcMar>
          </w:tcPr>
          <w:p>
            <w:r>
              <w:rPr>
                <w:b w:val="false"/>
                <w:bCs w:val="false"/>
                <w:color w:val="000000"/>
                <w:sz w:val="18"/>
                <w:szCs w:val="18"/>
              </w:rPr>
              <w:t xml:space="preserve">Secondary/internal</w:t>
            </w:r>
          </w:p>
        </w:tc>
        <w:tc>
          <w:tcPr>
            <w:tcW w:type="dxa" w:w="1660"/>
            <w:shd w:fill="F5F5F0" w:val="clear"/>
            <w:tcMar>
              <w:top w:type="dxa" w:w="80"/>
              <w:left w:type="dxa" w:w="100"/>
              <w:bottom w:type="dxa" w:w="80"/>
              <w:right w:type="dxa" w:w="100"/>
            </w:tcMar>
          </w:tcPr>
          <w:p>
            <w:r>
              <w:rPr>
                <w:b w:val="false"/>
                <w:bCs w:val="false"/>
                <w:color w:val="000000"/>
                <w:sz w:val="18"/>
                <w:szCs w:val="18"/>
              </w:rPr>
              <w:t xml:space="preserve">Independently cross-checked in Section 11. Converges with our benchmark-derived Base case.</w:t>
            </w:r>
          </w:p>
        </w:tc>
      </w:tr>
    </w:tbl>
    <w:p>
      <w:pPr>
        <w:pStyle w:val="Heading1"/>
        <w:spacing w:after="160" w:before="360"/>
      </w:pPr>
      <w:r>
        <w:t xml:space="preserve">10. Impact vs Effort</w:t>
      </w:r>
    </w:p>
    <w:p>
      <w:pPr>
        <w:spacing w:after="160"/>
      </w:pPr>
      <w:r>
        <w:rPr>
          <w:b w:val="false"/>
          <w:bCs w:val="false"/>
          <w:i w:val="false"/>
          <w:iCs w:val="false"/>
          <w:sz w:val="21"/>
          <w:szCs w:val="21"/>
        </w:rPr>
        <w:t xml:space="preserve">All 12 workflows plotted on real business impact versus implementation effort, not inferred scores. WF08 sits highest on impact; the four Wave 1 workflows cluster in the low-effort band.</w:t>
      </w:r>
    </w:p>
    <w:p>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r>
        <w:br w:type="page"/>
      </w:r>
    </w:p>
    <w:p>
      <w:pPr>
        <w:pStyle w:val="Heading1"/>
        <w:spacing w:after="160" w:before="360"/>
      </w:pPr>
      <w:r>
        <w:t xml:space="preserve">11. Commercial Model</w:t>
      </w:r>
    </w:p>
    <w:p>
      <w:pPr>
        <w:spacing w:after="160"/>
      </w:pPr>
      <w:r>
        <w:rPr>
          <w:b w:val="false"/>
          <w:bCs w:val="false"/>
          <w:i w:val="false"/>
          <w:iCs w:val="false"/>
          <w:sz w:val="21"/>
          <w:szCs w:val="21"/>
        </w:rPr>
        <w:t xml:space="preserve">Four benefit categories, kept separate throughout. Never summed into one headline AI ROI figure. See the risk flag below for why that matters here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5B5B" w:sz="4"/>
              <w:left w:val="single" w:color="A65B5B" w:sz="4"/>
              <w:bottom w:val="single" w:color="A65B5B" w:sz="4"/>
              <w:right w:val="single" w:color="A65B5B" w:sz="4"/>
            </w:tcBorders>
            <w:shd w:fill="F7E9E9" w:val="clear"/>
            <w:tcMar>
              <w:top w:type="dxa" w:w="160"/>
              <w:left w:type="dxa" w:w="220"/>
              <w:bottom w:type="dxa" w:w="160"/>
              <w:right w:type="dxa" w:w="220"/>
            </w:tcMar>
          </w:tcPr>
          <w:p>
            <w:pPr>
              <w:spacing w:after="100"/>
            </w:pPr>
            <w:r>
              <w:rPr>
                <w:b/>
                <w:bCs/>
                <w:sz w:val="20"/>
                <w:szCs w:val="20"/>
              </w:rPr>
              <w:t xml:space="preserve">Risk flag R01, from source data</w:t>
            </w:r>
          </w:p>
          <w:p>
            <w:pPr>
              <w:pStyle w:val="ListParagraph"/>
              <w:numPr>
                <w:ilvl w:val="0"/>
                <w:numId w:val="1"/>
              </w:numPr>
              <w:spacing w:after="60"/>
            </w:pPr>
            <w:r>
              <w:t xml:space="preserve">The client's own risk register (R01) already names this exact issue: the savings target may blend AI productivity with spend leakage and consolidation savings. Mitigation on record: separate productivity, spend recovery and tooling rationalisation benefits.</w:t>
            </w:r>
          </w:p>
          <w:p>
            <w:pPr>
              <w:pStyle w:val="ListParagraph"/>
              <w:numPr>
                <w:ilvl w:val="0"/>
                <w:numId w:val="1"/>
              </w:numPr>
              <w:spacing w:after="60"/>
            </w:pPr>
            <w:r>
              <w:t xml:space="preserve">We have gone one step further and added a fourth category, revenue growth, and checked whether the data supports one. It does not. See Category 4 below.</w:t>
            </w:r>
          </w:p>
        </w:tc>
      </w:tr>
    </w:tbl>
    <w:p>
      <w:pPr>
        <w:pStyle w:val="Heading2"/>
        <w:spacing w:after="120" w:before="240"/>
      </w:pPr>
      <w:r>
        <w:t xml:space="preserve">Category 1: AI-productivity savings</w:t>
      </w:r>
    </w:p>
    <w:p>
      <w:pPr>
        <w:spacing w:after="160"/>
      </w:pPr>
      <w:r>
        <w:rPr>
          <w:b w:val="false"/>
          <w:bCs w:val="false"/>
          <w:i w:val="false"/>
          <w:iCs w:val="false"/>
          <w:sz w:val="21"/>
          <w:szCs w:val="21"/>
        </w:rPr>
        <w:t xml:space="preserve">Base: annual production/content spend, GBP 18.7m (KPI02, Partially validated). McKinsey benchmark range applied: 5-15% total marketing productivity uplift.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60"/>
        <w:gridCol w:w="5200"/>
      </w:tblGrid>
      <w:tr>
        <w:trPr>
          <w:tblHeader/>
        </w:trPr>
        <w:tc>
          <w:tcPr>
            <w:tcW w:type="dxa" w:w="1900"/>
            <w:shd w:fill="1F2937" w:val="clear"/>
            <w:tcMar>
              <w:top w:type="dxa" w:w="80"/>
              <w:left w:type="dxa" w:w="100"/>
              <w:bottom w:type="dxa" w:w="80"/>
              <w:right w:type="dxa" w:w="100"/>
            </w:tcMar>
          </w:tcPr>
          <w:p>
            <w:r>
              <w:rPr>
                <w:b/>
                <w:bCs/>
                <w:color w:val="FFFFFF"/>
                <w:sz w:val="18"/>
                <w:szCs w:val="18"/>
              </w:rPr>
              <w:t xml:space="preserve">Scenario</w:t>
            </w:r>
          </w:p>
        </w:tc>
        <w:tc>
          <w:tcPr>
            <w:tcW w:type="dxa" w:w="2260"/>
            <w:shd w:fill="1F2937" w:val="clear"/>
            <w:tcMar>
              <w:top w:type="dxa" w:w="80"/>
              <w:left w:type="dxa" w:w="100"/>
              <w:bottom w:type="dxa" w:w="80"/>
              <w:right w:type="dxa" w:w="100"/>
            </w:tcMar>
          </w:tcPr>
          <w:p>
            <w:r>
              <w:rPr>
                <w:b/>
                <w:bCs/>
                <w:color w:val="FFFFFF"/>
                <w:sz w:val="18"/>
                <w:szCs w:val="18"/>
              </w:rPr>
              <w:t xml:space="preserve">Annual savings</w:t>
            </w:r>
          </w:p>
        </w:tc>
        <w:tc>
          <w:tcPr>
            <w:tcW w:type="dxa" w:w="5200"/>
            <w:shd w:fill="1F2937" w:val="clear"/>
            <w:tcMar>
              <w:top w:type="dxa" w:w="80"/>
              <w:left w:type="dxa" w:w="100"/>
              <w:bottom w:type="dxa" w:w="80"/>
              <w:right w:type="dxa" w:w="100"/>
            </w:tcMar>
          </w:tcPr>
          <w:p>
            <w:r>
              <w:rPr>
                <w:b/>
                <w:bCs/>
                <w:color w:val="FFFFFF"/>
                <w:sz w:val="18"/>
                <w:szCs w:val="18"/>
              </w:rPr>
              <w:t xml:space="preserve">Assumptions</w:t>
            </w:r>
          </w:p>
        </w:tc>
      </w:tr>
      <w:tr>
        <w:tc>
          <w:tcPr>
            <w:tcW w:type="dxa" w:w="1900"/>
            <w:tcMar>
              <w:top w:type="dxa" w:w="80"/>
              <w:left w:type="dxa" w:w="100"/>
              <w:bottom w:type="dxa" w:w="80"/>
              <w:right w:type="dxa" w:w="100"/>
            </w:tcMar>
          </w:tcPr>
          <w:p>
            <w:r>
              <w:rPr>
                <w:b w:val="false"/>
                <w:bCs w:val="false"/>
                <w:color w:val="000000"/>
                <w:sz w:val="18"/>
                <w:szCs w:val="18"/>
              </w:rPr>
              <w:t xml:space="preserve">Conservative</w:t>
            </w:r>
          </w:p>
        </w:tc>
        <w:tc>
          <w:tcPr>
            <w:tcW w:type="dxa" w:w="2260"/>
            <w:tcMar>
              <w:top w:type="dxa" w:w="80"/>
              <w:left w:type="dxa" w:w="100"/>
              <w:bottom w:type="dxa" w:w="80"/>
              <w:right w:type="dxa" w:w="100"/>
            </w:tcMar>
          </w:tcPr>
          <w:p>
            <w:r>
              <w:rPr>
                <w:b w:val="false"/>
                <w:bCs w:val="false"/>
                <w:color w:val="000000"/>
                <w:sz w:val="18"/>
                <w:szCs w:val="18"/>
              </w:rPr>
              <w:t xml:space="preserve">GBP 0.94m (5%)</w:t>
            </w:r>
          </w:p>
        </w:tc>
        <w:tc>
          <w:tcPr>
            <w:tcW w:type="dxa" w:w="5200"/>
            <w:tcMar>
              <w:top w:type="dxa" w:w="80"/>
              <w:left w:type="dxa" w:w="100"/>
              <w:bottom w:type="dxa" w:w="80"/>
              <w:right w:type="dxa" w:w="100"/>
            </w:tcMar>
          </w:tcPr>
          <w:p>
            <w:r>
              <w:rPr>
                <w:b w:val="false"/>
                <w:bCs w:val="false"/>
                <w:color w:val="000000"/>
                <w:sz w:val="18"/>
                <w:szCs w:val="18"/>
              </w:rPr>
              <w:t xml:space="preserve">Only the four Wave 1 workflows convert in Year 1.</w:t>
            </w:r>
          </w:p>
        </w:tc>
      </w:tr>
      <w:tr>
        <w:tc>
          <w:tcPr>
            <w:tcW w:type="dxa" w:w="1900"/>
            <w:shd w:fill="F5F5F0" w:val="clear"/>
            <w:tcMar>
              <w:top w:type="dxa" w:w="80"/>
              <w:left w:type="dxa" w:w="100"/>
              <w:bottom w:type="dxa" w:w="80"/>
              <w:right w:type="dxa" w:w="100"/>
            </w:tcMar>
          </w:tcPr>
          <w:p>
            <w:r>
              <w:rPr>
                <w:b w:val="false"/>
                <w:bCs w:val="false"/>
                <w:color w:val="000000"/>
                <w:sz w:val="18"/>
                <w:szCs w:val="18"/>
              </w:rPr>
              <w:t xml:space="preserve">Base</w:t>
            </w:r>
          </w:p>
        </w:tc>
        <w:tc>
          <w:tcPr>
            <w:tcW w:type="dxa" w:w="2260"/>
            <w:shd w:fill="F5F5F0" w:val="clear"/>
            <w:tcMar>
              <w:top w:type="dxa" w:w="80"/>
              <w:left w:type="dxa" w:w="100"/>
              <w:bottom w:type="dxa" w:w="80"/>
              <w:right w:type="dxa" w:w="100"/>
            </w:tcMar>
          </w:tcPr>
          <w:p>
            <w:r>
              <w:rPr>
                <w:b w:val="false"/>
                <w:bCs w:val="false"/>
                <w:color w:val="000000"/>
                <w:sz w:val="18"/>
                <w:szCs w:val="18"/>
              </w:rPr>
              <w:t xml:space="preserve">GBP 1.87m (10%)</w:t>
            </w:r>
          </w:p>
        </w:tc>
        <w:tc>
          <w:tcPr>
            <w:tcW w:type="dxa" w:w="5200"/>
            <w:shd w:fill="F5F5F0" w:val="clear"/>
            <w:tcMar>
              <w:top w:type="dxa" w:w="80"/>
              <w:left w:type="dxa" w:w="100"/>
              <w:bottom w:type="dxa" w:w="80"/>
              <w:right w:type="dxa" w:w="100"/>
            </w:tcMar>
          </w:tcPr>
          <w:p>
            <w:r>
              <w:rPr>
                <w:b w:val="false"/>
                <w:bCs w:val="false"/>
                <w:color w:val="000000"/>
                <w:sz w:val="18"/>
                <w:szCs w:val="18"/>
              </w:rPr>
              <w:t xml:space="preserve">Applies across all workflows scored High or Medium AI readiness at steady state. Closely matches the client's own KPI02 target of 16.8m (10.2% reduction).</w:t>
            </w:r>
          </w:p>
        </w:tc>
      </w:tr>
      <w:tr>
        <w:tc>
          <w:tcPr>
            <w:tcW w:type="dxa" w:w="1900"/>
            <w:tcMar>
              <w:top w:type="dxa" w:w="80"/>
              <w:left w:type="dxa" w:w="100"/>
              <w:bottom w:type="dxa" w:w="80"/>
              <w:right w:type="dxa" w:w="100"/>
            </w:tcMar>
          </w:tcPr>
          <w:p>
            <w:r>
              <w:rPr>
                <w:b w:val="false"/>
                <w:bCs w:val="false"/>
                <w:color w:val="000000"/>
                <w:sz w:val="18"/>
                <w:szCs w:val="18"/>
              </w:rPr>
              <w:t xml:space="preserve">Optimistic</w:t>
            </w:r>
          </w:p>
        </w:tc>
        <w:tc>
          <w:tcPr>
            <w:tcW w:type="dxa" w:w="2260"/>
            <w:tcMar>
              <w:top w:type="dxa" w:w="80"/>
              <w:left w:type="dxa" w:w="100"/>
              <w:bottom w:type="dxa" w:w="80"/>
              <w:right w:type="dxa" w:w="100"/>
            </w:tcMar>
          </w:tcPr>
          <w:p>
            <w:r>
              <w:rPr>
                <w:b w:val="false"/>
                <w:bCs w:val="false"/>
                <w:color w:val="000000"/>
                <w:sz w:val="18"/>
                <w:szCs w:val="18"/>
              </w:rPr>
              <w:t xml:space="preserve">GBP 2.81m (15%)</w:t>
            </w:r>
          </w:p>
        </w:tc>
        <w:tc>
          <w:tcPr>
            <w:tcW w:type="dxa" w:w="5200"/>
            <w:tcMar>
              <w:top w:type="dxa" w:w="80"/>
              <w:left w:type="dxa" w:w="100"/>
              <w:bottom w:type="dxa" w:w="80"/>
              <w:right w:type="dxa" w:w="100"/>
            </w:tcMar>
          </w:tcPr>
          <w:p>
            <w:r>
              <w:rPr>
                <w:b w:val="false"/>
                <w:bCs w:val="false"/>
                <w:color w:val="000000"/>
                <w:sz w:val="18"/>
                <w:szCs w:val="18"/>
              </w:rPr>
              <w:t xml:space="preserve">Faster-than-typical adoption across all 12 workflows. Explicit upper bound, not the planning number.</w:t>
            </w:r>
          </w:p>
        </w:tc>
      </w:tr>
    </w:tbl>
    <w:p>
      <w:pPr>
        <w:pStyle w:val="Heading2"/>
        <w:spacing w:after="120" w:before="240"/>
      </w:pPr>
      <w:r>
        <w:t xml:space="preserve">Category 2: Spend recovery (not AI-attributable)</w:t>
      </w:r>
    </w:p>
    <w:p>
      <w:pPr>
        <w:spacing w:after="160"/>
      </w:pPr>
      <w:r>
        <w:rPr>
          <w:b w:val="false"/>
          <w:bCs w:val="false"/>
          <w:i w:val="false"/>
          <w:iCs w:val="false"/>
          <w:sz w:val="21"/>
          <w:szCs w:val="21"/>
        </w:rPr>
        <w:t xml:space="preserve">KPI03, estimated untracked local-market spend, GBP 4.2m baseline, Low confidence, target GBP 1.0m. Potential recovery up to GBP 3.2m. Notes flag this as likely duplicate freelancer and local production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8B2E" w:sz="4"/>
              <w:left w:val="single" w:color="B98B2E" w:sz="4"/>
              <w:bottom w:val="single" w:color="B98B2E" w:sz="4"/>
              <w:right w:val="single" w:color="B98B2E" w:sz="4"/>
            </w:tcBorders>
            <w:shd w:fill="FCF3DF" w:val="clear"/>
            <w:tcMar>
              <w:top w:type="dxa" w:w="160"/>
              <w:left w:type="dxa" w:w="220"/>
              <w:bottom w:type="dxa" w:w="160"/>
              <w:right w:type="dxa" w:w="220"/>
            </w:tcMar>
          </w:tcPr>
          <w:p>
            <w:pPr>
              <w:spacing w:after="100"/>
            </w:pPr>
            <w:r>
              <w:rPr>
                <w:b/>
                <w:bCs/>
                <w:sz w:val="20"/>
                <w:szCs w:val="20"/>
              </w:rPr>
              <w:t xml:space="preserve">Our recommendation</w:t>
            </w:r>
          </w:p>
          <w:p>
            <w:pPr>
              <w:pStyle w:val="ListParagraph"/>
              <w:numPr>
                <w:ilvl w:val="0"/>
                <w:numId w:val="1"/>
              </w:numPr>
              <w:spacing w:after="60"/>
            </w:pPr>
            <w:r>
              <w:t xml:space="preserve">This is a finance and governance exercise, not an AI outcome. Do not let it get folded into the AI productivity number. It needs a spend-taxonomy fix before it is governable at all.</w:t>
            </w:r>
          </w:p>
        </w:tc>
      </w:tr>
    </w:tbl>
    <w:p>
      <w:pPr>
        <w:pStyle w:val="Heading2"/>
        <w:spacing w:after="120" w:before="240"/>
      </w:pPr>
      <w:r>
        <w:t xml:space="preserve">Category 3: Tooling rationalisation</w:t>
      </w:r>
    </w:p>
    <w:p>
      <w:pPr>
        <w:spacing w:after="160"/>
      </w:pPr>
      <w:r>
        <w:rPr>
          <w:b w:val="false"/>
          <w:bCs w:val="false"/>
          <w:i w:val="false"/>
          <w:iCs w:val="false"/>
          <w:sz w:val="21"/>
          <w:szCs w:val="21"/>
        </w:rPr>
        <w:t xml:space="preserve">KPI24, tool/licence duplication estimate, GBP 0.65m baseline, Medium confidence, target GBP 0.25m. This maps directly to Section 5 and Section 8's four flagged consolidation candidates.</w:t>
      </w:r>
    </w:p>
    <w:p>
      <w:pPr>
        <w:pStyle w:val="Heading2"/>
        <w:spacing w:after="120" w:before="240"/>
      </w:pPr>
      <w:r>
        <w:t xml:space="preserve">Category 4: Revenue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5B5B" w:sz="4"/>
              <w:left w:val="single" w:color="A65B5B" w:sz="4"/>
              <w:bottom w:val="single" w:color="A65B5B" w:sz="4"/>
              <w:right w:val="single" w:color="A65B5B" w:sz="4"/>
            </w:tcBorders>
            <w:shd w:fill="F7E9E9" w:val="clear"/>
            <w:tcMar>
              <w:top w:type="dxa" w:w="160"/>
              <w:left w:type="dxa" w:w="220"/>
              <w:bottom w:type="dxa" w:w="160"/>
              <w:right w:type="dxa" w:w="220"/>
            </w:tcMar>
          </w:tcPr>
          <w:p>
            <w:pPr>
              <w:spacing w:after="100"/>
            </w:pPr>
            <w:r>
              <w:rPr>
                <w:b/>
                <w:bCs/>
                <w:sz w:val="20"/>
                <w:szCs w:val="20"/>
              </w:rPr>
              <w:t xml:space="preserve">Data gap, not an oversight</w:t>
            </w:r>
          </w:p>
          <w:p>
            <w:pPr>
              <w:pStyle w:val="ListParagraph"/>
              <w:numPr>
                <w:ilvl w:val="0"/>
                <w:numId w:val="1"/>
              </w:numPr>
              <w:spacing w:after="60"/>
            </w:pPr>
            <w:r>
              <w:t xml:space="preserve">No revenue-linked KPI exists anywhere in the current-state data. KPI25 (creator content throughput) and KPI26 (Retailer.com SLA achievement) are operational proxies, not revenue figures, and neither converts to a revenue estimate without an unevidenced assumption about conversion rate.</w:t>
            </w:r>
          </w:p>
          <w:p>
            <w:pPr>
              <w:pStyle w:val="ListParagraph"/>
              <w:numPr>
                <w:ilvl w:val="0"/>
                <w:numId w:val="1"/>
              </w:numPr>
              <w:spacing w:after="60"/>
            </w:pPr>
            <w:r>
              <w:t xml:space="preserve">No revenue growth case is presented. Estimating one from a productivity or efficiency benchmark would conflate two different things and is exactly the kind of blended figure this section exists to avoid. If leadership wants a revenue growth case, it needs its own KPI (for example, incremental conversion rate or basket size linked to faster content velocity) before this section can be populated.</w:t>
            </w:r>
          </w:p>
        </w:tc>
      </w:tr>
    </w:tbl>
    <w:p>
      <w:pPr>
        <w:pStyle w:val="Heading2"/>
        <w:spacing w:after="120" w:before="240"/>
      </w:pPr>
      <w:r>
        <w:t xml:space="preserve">Cross-check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6" w:sz="4"/>
              <w:left w:val="single" w:color="6B84A6" w:sz="4"/>
              <w:bottom w:val="single" w:color="6B84A6" w:sz="4"/>
              <w:right w:val="single" w:color="6B84A6" w:sz="4"/>
            </w:tcBorders>
            <w:shd w:fill="EEF2F7" w:val="clear"/>
            <w:tcMar>
              <w:top w:type="dxa" w:w="160"/>
              <w:left w:type="dxa" w:w="220"/>
              <w:bottom w:type="dxa" w:w="160"/>
              <w:right w:type="dxa" w:w="220"/>
            </w:tcMar>
          </w:tcPr>
          <w:p>
            <w:pPr>
              <w:spacing w:after="100"/>
            </w:pPr>
            <w:r>
              <w:rPr>
                <w:b/>
                <w:bCs/>
                <w:sz w:val="20"/>
                <w:szCs w:val="20"/>
              </w:rPr>
              <w:t xml:space="preserve">Top-down / bottom-up / client-stated</w:t>
            </w:r>
          </w:p>
          <w:p>
            <w:pPr>
              <w:pStyle w:val="ListParagraph"/>
              <w:numPr>
                <w:ilvl w:val="0"/>
                <w:numId w:val="1"/>
              </w:numPr>
              <w:spacing w:after="60"/>
            </w:pPr>
            <w:r>
              <w:t xml:space="preserve">Top-down (Category 1): GBP 1.87m Base case, McKinsey benchmark applied to total production spend.</w:t>
            </w:r>
          </w:p>
          <w:p>
            <w:pPr>
              <w:pStyle w:val="ListParagraph"/>
              <w:numPr>
                <w:ilvl w:val="0"/>
                <w:numId w:val="1"/>
              </w:numPr>
              <w:spacing w:after="60"/>
            </w:pPr>
            <w:r>
              <w:t xml:space="preserve">Client-stated: KPI23, Addressable savings opportunity, independently estimated at GBP 2.3m identified, GBP 1.2m targeted for Year 1 (Low confidence, Needs validation).</w:t>
            </w:r>
          </w:p>
          <w:p>
            <w:pPr>
              <w:pStyle w:val="ListParagraph"/>
              <w:numPr>
                <w:ilvl w:val="0"/>
                <w:numId w:val="1"/>
              </w:numPr>
              <w:spacing w:after="60"/>
            </w:pPr>
            <w:r>
              <w:t xml:space="preserve">Result: converges. Our Base case sits inside the client's own GBP 1.2m-2.3m range. Two independent methods agreeing increases confidence in the Base case, though KPI23 itself still needs validation before either figure is governed.</w:t>
            </w:r>
          </w:p>
          <w:p>
            <w:pPr>
              <w:pStyle w:val="ListParagraph"/>
              <w:numPr>
                <w:ilvl w:val="0"/>
                <w:numId w:val="1"/>
              </w:numPr>
              <w:spacing w:after="60"/>
            </w:pPr>
            <w:r>
              <w:t xml:space="preserve">Bottom-up (Category 3): the four explicitly flagged overlapping tools (VidioGen A, VidioGen B, PersonaDub, LocalVoice AI) total GBP 237,600/year combined run-rate. Consolidating to two tools saves roughly half, about GBP 0.12m/year.</w:t>
            </w:r>
          </w:p>
          <w:p>
            <w:pPr>
              <w:pStyle w:val="ListParagraph"/>
              <w:numPr>
                <w:ilvl w:val="0"/>
                <w:numId w:val="1"/>
              </w:numPr>
              <w:spacing w:after="60"/>
            </w:pPr>
            <w:r>
              <w:t xml:space="preserve">Result: diverges. GBP 0.12m bottom-up is meaningfully smaller than KPI24's GBP 0.4m target saving (0.65m to 0.25m). This means the duplication estimate likely extends beyond these four tools, most likely into Multi-LLM Access (GBP 141,600/year run-rate, Low confidence, flagged Govern/rationalise). Confirm the scope of KPI24 before it is governed as a single number.</w:t>
            </w:r>
          </w:p>
        </w:tc>
      </w:tr>
    </w:tbl>
    <w:p>
      <w:pPr>
        <w:pStyle w:val="Heading2"/>
        <w:spacing w:after="120" w:before="240"/>
      </w:pPr>
      <w:r>
        <w:t xml:space="preserve">Payback</w:t>
      </w:r>
    </w:p>
    <w:p>
      <w:pPr>
        <w:spacing w:after="160"/>
      </w:pPr>
      <w:r>
        <w:rPr>
          <w:b w:val="false"/>
          <w:bCs w:val="false"/>
          <w:i/>
          <w:iCs/>
          <w:sz w:val="21"/>
          <w:szCs w:val="21"/>
        </w:rPr>
        <w:t xml:space="preserve">Not computable. No implementation cost estimate (integration, build, change management, training) exists in the current-state data. Current tool run-rate (GBP 190,300/month across all 18 tools) is visible, but that is operating cost, not a program implementation cost basis.</w:t>
      </w:r>
    </w:p>
    <w:p>
      <w:pPr>
        <w:spacing w:after="160"/>
      </w:pPr>
      <w:r>
        <w:rPr>
          <w:b w:val="false"/>
          <w:bCs w:val="false"/>
          <w:i/>
          <w:iCs/>
          <w:sz w:val="21"/>
          <w:szCs w:val="21"/>
        </w:rPr>
        <w:t xml:space="preserve">Public reference point: median payback on AI tooling investment across industry is 4.2 months. This figure is flagged DRAFT in the benchmark table and needs primary-source verification before being quoted to any client. Treat as a reference point only.</w:t>
      </w:r>
    </w:p>
    <w:p>
      <w:pPr>
        <w:spacing w:after="160"/>
      </w:pPr>
      <w:r>
        <w:rPr>
          <w:b w:val="false"/>
          <w:bCs w:val="false"/>
          <w:i w:val="false"/>
          <w:iCs w:val="false"/>
          <w:sz w:val="21"/>
          <w:szCs w:val="21"/>
        </w:rPr>
        <w:t xml:space="preserve">Recommended planning basis: Category 1, Base case (GBP 1.87m). It is the only category with genuine benchmark support across a range, and it is cross-checked against the client's own estimate above.</w:t>
      </w:r>
    </w:p>
    <w:p>
      <w:pPr>
        <w:pStyle w:val="Heading1"/>
        <w:spacing w:after="160" w:before="360"/>
      </w:pPr>
      <w:r>
        <w:t xml:space="preserve">12. Risk Flags and Validation Needed</w:t>
      </w:r>
    </w:p>
    <w:p>
      <w:pPr>
        <w:spacing w:after="160"/>
      </w:pPr>
      <w:r>
        <w:rPr>
          <w:b w:val="false"/>
          <w:bCs w:val="false"/>
          <w:i w:val="false"/>
          <w:iCs w:val="false"/>
          <w:sz w:val="21"/>
          <w:szCs w:val="21"/>
        </w:rPr>
        <w:t xml:space="preserve">Pulled directly from the client's own risk register, plus KPI and technology validation gaps identified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900"/>
        <w:gridCol w:w="3600"/>
      </w:tblGrid>
      <w:tr>
        <w:trPr>
          <w:tblHeader/>
        </w:trPr>
        <w:tc>
          <w:tcPr>
            <w:tcW w:type="dxa" w:w="700"/>
            <w:shd w:fill="1F2937" w:val="clear"/>
            <w:tcMar>
              <w:top w:type="dxa" w:w="80"/>
              <w:left w:type="dxa" w:w="100"/>
              <w:bottom w:type="dxa" w:w="80"/>
              <w:right w:type="dxa" w:w="100"/>
            </w:tcMar>
          </w:tcPr>
          <w:p>
            <w:r>
              <w:rPr>
                <w:b/>
                <w:bCs/>
                <w:color w:val="FFFFFF"/>
                <w:sz w:val="18"/>
                <w:szCs w:val="18"/>
              </w:rPr>
              <w:t xml:space="preserve">ID</w:t>
            </w:r>
          </w:p>
        </w:tc>
        <w:tc>
          <w:tcPr>
            <w:tcW w:type="dxa" w:w="4160"/>
            <w:shd w:fill="1F2937" w:val="clear"/>
            <w:tcMar>
              <w:top w:type="dxa" w:w="80"/>
              <w:left w:type="dxa" w:w="100"/>
              <w:bottom w:type="dxa" w:w="80"/>
              <w:right w:type="dxa" w:w="100"/>
            </w:tcMar>
          </w:tcPr>
          <w:p>
            <w:r>
              <w:rPr>
                <w:b/>
                <w:bCs/>
                <w:color w:val="FFFFFF"/>
                <w:sz w:val="18"/>
                <w:szCs w:val="18"/>
              </w:rPr>
              <w:t xml:space="preserve">Risk</w:t>
            </w:r>
          </w:p>
        </w:tc>
        <w:tc>
          <w:tcPr>
            <w:tcW w:type="dxa" w:w="900"/>
            <w:shd w:fill="1F2937" w:val="clear"/>
            <w:tcMar>
              <w:top w:type="dxa" w:w="80"/>
              <w:left w:type="dxa" w:w="100"/>
              <w:bottom w:type="dxa" w:w="80"/>
              <w:right w:type="dxa" w:w="100"/>
            </w:tcMar>
          </w:tcPr>
          <w:p>
            <w:r>
              <w:rPr>
                <w:b/>
                <w:bCs/>
                <w:color w:val="FFFFFF"/>
                <w:sz w:val="18"/>
                <w:szCs w:val="18"/>
              </w:rPr>
              <w:t xml:space="preserve">Severity</w:t>
            </w:r>
          </w:p>
        </w:tc>
        <w:tc>
          <w:tcPr>
            <w:tcW w:type="dxa" w:w="3600"/>
            <w:shd w:fill="1F2937" w:val="clear"/>
            <w:tcMar>
              <w:top w:type="dxa" w:w="80"/>
              <w:left w:type="dxa" w:w="100"/>
              <w:bottom w:type="dxa" w:w="80"/>
              <w:right w:type="dxa" w:w="100"/>
            </w:tcMar>
          </w:tcPr>
          <w:p>
            <w:r>
              <w:rPr>
                <w:b/>
                <w:bCs/>
                <w:color w:val="FFFFFF"/>
                <w:sz w:val="18"/>
                <w:szCs w:val="18"/>
              </w:rPr>
              <w:t xml:space="preserve">Decision needed</w:t>
            </w:r>
          </w:p>
        </w:tc>
      </w:tr>
      <w:tr>
        <w:tc>
          <w:tcPr>
            <w:tcW w:type="dxa" w:w="700"/>
            <w:tcMar>
              <w:top w:type="dxa" w:w="80"/>
              <w:left w:type="dxa" w:w="100"/>
              <w:bottom w:type="dxa" w:w="80"/>
              <w:right w:type="dxa" w:w="100"/>
            </w:tcMar>
          </w:tcPr>
          <w:p>
            <w:r>
              <w:rPr>
                <w:b w:val="false"/>
                <w:bCs w:val="false"/>
                <w:color w:val="000000"/>
                <w:sz w:val="18"/>
                <w:szCs w:val="18"/>
              </w:rPr>
              <w:t xml:space="preserve">R01</w:t>
            </w:r>
          </w:p>
        </w:tc>
        <w:tc>
          <w:tcPr>
            <w:tcW w:type="dxa" w:w="4160"/>
            <w:tcMar>
              <w:top w:type="dxa" w:w="80"/>
              <w:left w:type="dxa" w:w="100"/>
              <w:bottom w:type="dxa" w:w="80"/>
              <w:right w:type="dxa" w:w="100"/>
            </w:tcMar>
          </w:tcPr>
          <w:p>
            <w:r>
              <w:rPr>
                <w:b w:val="false"/>
                <w:bCs w:val="false"/>
                <w:color w:val="000000"/>
                <w:sz w:val="18"/>
                <w:szCs w:val="18"/>
              </w:rPr>
              <w:t xml:space="preserve">Savings target may blend AI productivity with spend leakage / consolidation savings.</w:t>
            </w:r>
          </w:p>
        </w:tc>
        <w:tc>
          <w:tcPr>
            <w:tcW w:type="dxa" w:w="900"/>
            <w:tcMar>
              <w:top w:type="dxa" w:w="80"/>
              <w:left w:type="dxa" w:w="100"/>
              <w:bottom w:type="dxa" w:w="80"/>
              <w:right w:type="dxa" w:w="100"/>
            </w:tcMar>
          </w:tcPr>
          <w:p>
            <w:r>
              <w:rPr>
                <w:b w:val="false"/>
                <w:bCs w:val="false"/>
                <w:color w:val="000000"/>
                <w:sz w:val="18"/>
                <w:szCs w:val="18"/>
              </w:rPr>
              <w:t xml:space="preserve">High</w:t>
            </w:r>
          </w:p>
        </w:tc>
        <w:tc>
          <w:tcPr>
            <w:tcW w:type="dxa" w:w="3600"/>
            <w:tcMar>
              <w:top w:type="dxa" w:w="80"/>
              <w:left w:type="dxa" w:w="100"/>
              <w:bottom w:type="dxa" w:w="80"/>
              <w:right w:type="dxa" w:w="100"/>
            </w:tcMar>
          </w:tcPr>
          <w:p>
            <w:r>
              <w:rPr>
                <w:b w:val="false"/>
                <w:bCs w:val="false"/>
                <w:color w:val="000000"/>
                <w:sz w:val="18"/>
                <w:szCs w:val="18"/>
              </w:rPr>
              <w:t xml:space="preserve">Agree benefit categories before leadership report. Addressed in Section 11.</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R02</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AI tools may be used before rights, claims and brand controls are confirmed.</w:t>
            </w:r>
          </w:p>
        </w:tc>
        <w:tc>
          <w:tcPr>
            <w:tcW w:type="dxa" w:w="9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3600"/>
            <w:shd w:fill="F5F5F0" w:val="clear"/>
            <w:tcMar>
              <w:top w:type="dxa" w:w="80"/>
              <w:left w:type="dxa" w:w="100"/>
              <w:bottom w:type="dxa" w:w="80"/>
              <w:right w:type="dxa" w:w="100"/>
            </w:tcMar>
          </w:tcPr>
          <w:p>
            <w:r>
              <w:rPr>
                <w:b w:val="false"/>
                <w:bCs w:val="false"/>
                <w:color w:val="000000"/>
                <w:sz w:val="18"/>
                <w:szCs w:val="18"/>
              </w:rPr>
              <w:t xml:space="preserve">Approve AI usage policy for pilot before Wave 1 go-live.</w:t>
            </w:r>
          </w:p>
        </w:tc>
      </w:tr>
      <w:tr>
        <w:tc>
          <w:tcPr>
            <w:tcW w:type="dxa" w:w="700"/>
            <w:tcMar>
              <w:top w:type="dxa" w:w="80"/>
              <w:left w:type="dxa" w:w="100"/>
              <w:bottom w:type="dxa" w:w="80"/>
              <w:right w:type="dxa" w:w="100"/>
            </w:tcMar>
          </w:tcPr>
          <w:p>
            <w:r>
              <w:rPr>
                <w:b w:val="false"/>
                <w:bCs w:val="false"/>
                <w:color w:val="000000"/>
                <w:sz w:val="18"/>
                <w:szCs w:val="18"/>
              </w:rPr>
              <w:t xml:space="preserve">R03</w:t>
            </w:r>
          </w:p>
        </w:tc>
        <w:tc>
          <w:tcPr>
            <w:tcW w:type="dxa" w:w="4160"/>
            <w:tcMar>
              <w:top w:type="dxa" w:w="80"/>
              <w:left w:type="dxa" w:w="100"/>
              <w:bottom w:type="dxa" w:w="80"/>
              <w:right w:type="dxa" w:w="100"/>
            </w:tcMar>
          </w:tcPr>
          <w:p>
            <w:r>
              <w:rPr>
                <w:b w:val="false"/>
                <w:bCs w:val="false"/>
                <w:color w:val="000000"/>
                <w:sz w:val="18"/>
                <w:szCs w:val="18"/>
              </w:rPr>
              <w:t xml:space="preserve">Workflow automation could accelerate incomplete briefs rather than improve them.</w:t>
            </w:r>
          </w:p>
        </w:tc>
        <w:tc>
          <w:tcPr>
            <w:tcW w:type="dxa" w:w="900"/>
            <w:tcMar>
              <w:top w:type="dxa" w:w="80"/>
              <w:left w:type="dxa" w:w="100"/>
              <w:bottom w:type="dxa" w:w="80"/>
              <w:right w:type="dxa" w:w="100"/>
            </w:tcMar>
          </w:tcPr>
          <w:p>
            <w:r>
              <w:rPr>
                <w:b w:val="false"/>
                <w:bCs w:val="false"/>
                <w:color w:val="000000"/>
                <w:sz w:val="18"/>
                <w:szCs w:val="18"/>
              </w:rPr>
              <w:t xml:space="preserve">High</w:t>
            </w:r>
          </w:p>
        </w:tc>
        <w:tc>
          <w:tcPr>
            <w:tcW w:type="dxa" w:w="3600"/>
            <w:tcMar>
              <w:top w:type="dxa" w:w="80"/>
              <w:left w:type="dxa" w:w="100"/>
              <w:bottom w:type="dxa" w:w="80"/>
              <w:right w:type="dxa" w:w="100"/>
            </w:tcMar>
          </w:tcPr>
          <w:p>
            <w:r>
              <w:rPr>
                <w:b w:val="false"/>
                <w:bCs w:val="false"/>
                <w:color w:val="000000"/>
                <w:sz w:val="18"/>
                <w:szCs w:val="18"/>
              </w:rPr>
              <w:t xml:space="preserve">Confirm minimum brief fields before any AI-assisted routing goes live.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R04</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Technology recommendations could be premature: roles overlap but usage isn't fully evidenced.</w:t>
            </w:r>
          </w:p>
        </w:tc>
        <w:tc>
          <w:tcPr>
            <w:tcW w:type="dxa" w:w="9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3600"/>
            <w:shd w:fill="F5F5F0" w:val="clear"/>
            <w:tcMar>
              <w:top w:type="dxa" w:w="80"/>
              <w:left w:type="dxa" w:w="100"/>
              <w:bottom w:type="dxa" w:w="80"/>
              <w:right w:type="dxa" w:w="100"/>
            </w:tcMar>
          </w:tcPr>
          <w:p>
            <w:r>
              <w:rPr>
                <w:b w:val="false"/>
                <w:bCs w:val="false"/>
                <w:color w:val="000000"/>
                <w:sz w:val="18"/>
                <w:szCs w:val="18"/>
              </w:rPr>
              <w:t xml:space="preserve">Confirm validation sequencing. Section 8 recommendations already flag confidence level per tool.</w:t>
            </w:r>
          </w:p>
        </w:tc>
      </w:tr>
      <w:tr>
        <w:tc>
          <w:tcPr>
            <w:tcW w:type="dxa" w:w="700"/>
            <w:tcMar>
              <w:top w:type="dxa" w:w="80"/>
              <w:left w:type="dxa" w:w="100"/>
              <w:bottom w:type="dxa" w:w="80"/>
              <w:right w:type="dxa" w:w="100"/>
            </w:tcMar>
          </w:tcPr>
          <w:p>
            <w:r>
              <w:rPr>
                <w:b w:val="false"/>
                <w:bCs w:val="false"/>
                <w:color w:val="000000"/>
                <w:sz w:val="18"/>
                <w:szCs w:val="18"/>
              </w:rPr>
              <w:t xml:space="preserve">R05</w:t>
            </w:r>
          </w:p>
        </w:tc>
        <w:tc>
          <w:tcPr>
            <w:tcW w:type="dxa" w:w="4160"/>
            <w:tcMar>
              <w:top w:type="dxa" w:w="80"/>
              <w:left w:type="dxa" w:w="100"/>
              <w:bottom w:type="dxa" w:w="80"/>
              <w:right w:type="dxa" w:w="100"/>
            </w:tcMar>
          </w:tcPr>
          <w:p>
            <w:r>
              <w:rPr>
                <w:b w:val="false"/>
                <w:bCs w:val="false"/>
                <w:color w:val="000000"/>
                <w:sz w:val="18"/>
                <w:szCs w:val="18"/>
              </w:rPr>
              <w:t xml:space="preserve">No single campaign ID connects planning, production, assets and measurement.</w:t>
            </w:r>
          </w:p>
        </w:tc>
        <w:tc>
          <w:tcPr>
            <w:tcW w:type="dxa" w:w="900"/>
            <w:tcMar>
              <w:top w:type="dxa" w:w="80"/>
              <w:left w:type="dxa" w:w="100"/>
              <w:bottom w:type="dxa" w:w="80"/>
              <w:right w:type="dxa" w:w="100"/>
            </w:tcMar>
          </w:tcPr>
          <w:p>
            <w:r>
              <w:rPr>
                <w:b w:val="false"/>
                <w:bCs w:val="false"/>
                <w:color w:val="000000"/>
                <w:sz w:val="18"/>
                <w:szCs w:val="18"/>
              </w:rPr>
              <w:t xml:space="preserve">High</w:t>
            </w:r>
          </w:p>
        </w:tc>
        <w:tc>
          <w:tcPr>
            <w:tcW w:type="dxa" w:w="3600"/>
            <w:tcMar>
              <w:top w:type="dxa" w:w="80"/>
              <w:left w:type="dxa" w:w="100"/>
              <w:bottom w:type="dxa" w:w="80"/>
              <w:right w:type="dxa" w:w="100"/>
            </w:tcMar>
          </w:tcPr>
          <w:p>
            <w:r>
              <w:rPr>
                <w:b w:val="false"/>
                <w:bCs w:val="false"/>
                <w:color w:val="000000"/>
                <w:sz w:val="18"/>
                <w:szCs w:val="18"/>
              </w:rPr>
              <w:t xml:space="preserve">Approve a pilot ID standard, needed for any credible end-to-end reporting.</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R06</w:t>
            </w:r>
          </w:p>
        </w:tc>
        <w:tc>
          <w:tcPr>
            <w:tcW w:type="dxa" w:w="4160"/>
            <w:shd w:fill="F5F5F0" w:val="clear"/>
            <w:tcMar>
              <w:top w:type="dxa" w:w="80"/>
              <w:left w:type="dxa" w:w="100"/>
              <w:bottom w:type="dxa" w:w="80"/>
              <w:right w:type="dxa" w:w="100"/>
            </w:tcMar>
          </w:tcPr>
          <w:p>
            <w:r>
              <w:rPr>
                <w:b w:val="false"/>
                <w:bCs w:val="false"/>
                <w:color w:val="000000"/>
                <w:sz w:val="18"/>
                <w:szCs w:val="18"/>
              </w:rPr>
              <w:t xml:space="preserve">Market adoption may fail if the pilot adds process burden.</w:t>
            </w:r>
          </w:p>
        </w:tc>
        <w:tc>
          <w:tcPr>
            <w:tcW w:type="dxa" w:w="9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3600"/>
            <w:shd w:fill="F5F5F0" w:val="clear"/>
            <w:tcMar>
              <w:top w:type="dxa" w:w="80"/>
              <w:left w:type="dxa" w:w="100"/>
              <w:bottom w:type="dxa" w:w="80"/>
              <w:right w:type="dxa" w:w="100"/>
            </w:tcMar>
          </w:tcPr>
          <w:p>
            <w:r>
              <w:rPr>
                <w:b w:val="false"/>
                <w:bCs w:val="false"/>
                <w:color w:val="000000"/>
                <w:sz w:val="18"/>
                <w:szCs w:val="18"/>
              </w:rPr>
              <w:t xml:space="preserve">Nominate pilot users and champions from teams already using FlowGrid.</w:t>
            </w:r>
          </w:p>
        </w:tc>
      </w:tr>
      <w:tr>
        <w:tc>
          <w:tcPr>
            <w:tcW w:type="dxa" w:w="700"/>
            <w:tcMar>
              <w:top w:type="dxa" w:w="80"/>
              <w:left w:type="dxa" w:w="100"/>
              <w:bottom w:type="dxa" w:w="80"/>
              <w:right w:type="dxa" w:w="100"/>
            </w:tcMar>
          </w:tcPr>
          <w:p>
            <w:r>
              <w:rPr>
                <w:b w:val="false"/>
                <w:bCs w:val="false"/>
                <w:color w:val="000000"/>
                <w:sz w:val="18"/>
                <w:szCs w:val="18"/>
              </w:rPr>
              <w:t xml:space="preserve">Data</w:t>
            </w:r>
          </w:p>
        </w:tc>
        <w:tc>
          <w:tcPr>
            <w:tcW w:type="dxa" w:w="4160"/>
            <w:tcMar>
              <w:top w:type="dxa" w:w="80"/>
              <w:left w:type="dxa" w:w="100"/>
              <w:bottom w:type="dxa" w:w="80"/>
              <w:right w:type="dxa" w:w="100"/>
            </w:tcMar>
          </w:tcPr>
          <w:p>
            <w:r>
              <w:rPr>
                <w:b w:val="false"/>
                <w:bCs w:val="false"/>
                <w:color w:val="000000"/>
                <w:sz w:val="18"/>
                <w:szCs w:val="18"/>
              </w:rPr>
              <w:t xml:space="preserve">WF11 and WF12 have no current-state RACI documented.</w:t>
            </w:r>
          </w:p>
        </w:tc>
        <w:tc>
          <w:tcPr>
            <w:tcW w:type="dxa" w:w="900"/>
            <w:tcMar>
              <w:top w:type="dxa" w:w="80"/>
              <w:left w:type="dxa" w:w="100"/>
              <w:bottom w:type="dxa" w:w="80"/>
              <w:right w:type="dxa" w:w="100"/>
            </w:tcMar>
          </w:tcPr>
          <w:p>
            <w:r>
              <w:rPr>
                <w:b w:val="false"/>
                <w:bCs w:val="false"/>
                <w:color w:val="000000"/>
                <w:sz w:val="18"/>
                <w:szCs w:val="18"/>
              </w:rPr>
              <w:t xml:space="preserve">High</w:t>
            </w:r>
          </w:p>
        </w:tc>
        <w:tc>
          <w:tcPr>
            <w:tcW w:type="dxa" w:w="3600"/>
            <w:tcMar>
              <w:top w:type="dxa" w:w="80"/>
              <w:left w:type="dxa" w:w="100"/>
              <w:bottom w:type="dxa" w:w="80"/>
              <w:right w:type="dxa" w:w="100"/>
            </w:tcMar>
          </w:tcPr>
          <w:p>
            <w:r>
              <w:rPr>
                <w:b w:val="false"/>
                <w:bCs w:val="false"/>
                <w:color w:val="000000"/>
                <w:sz w:val="18"/>
                <w:szCs w:val="18"/>
              </w:rPr>
              <w:t xml:space="preserve">Assign Responsible and Accountable owners before either enters a wave.</w:t>
            </w:r>
          </w:p>
        </w:tc>
      </w:tr>
    </w:tbl>
    <w:p>
      <w:pPr>
        <w:pStyle w:val="Heading1"/>
        <w:spacing w:after="160" w:before="360"/>
      </w:pPr>
      <w:r>
        <w:t xml:space="preserve">13. Data Foundation Readiness</w:t>
      </w:r>
    </w:p>
    <w:p>
      <w:pPr>
        <w:spacing w:after="160"/>
      </w:pPr>
      <w:r>
        <w:rPr>
          <w:b w:val="false"/>
          <w:bCs w:val="false"/>
          <w:i w:val="false"/>
          <w:iCs w:val="false"/>
          <w:sz w:val="21"/>
          <w:szCs w:val="21"/>
        </w:rPr>
        <w:t xml:space="preserve">Not part of the original brief template, added because the source data included it and it materially changes how much to trust the KPI baselines above. Recommend folding this into the standard input schema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2860"/>
      </w:tblGrid>
      <w:tr>
        <w:trPr>
          <w:tblHeader/>
        </w:trPr>
        <w:tc>
          <w:tcPr>
            <w:tcW w:type="dxa" w:w="2400"/>
            <w:shd w:fill="1F2937" w:val="clear"/>
            <w:tcMar>
              <w:top w:type="dxa" w:w="80"/>
              <w:left w:type="dxa" w:w="100"/>
              <w:bottom w:type="dxa" w:w="80"/>
              <w:right w:type="dxa" w:w="100"/>
            </w:tcMar>
          </w:tcPr>
          <w:p>
            <w:r>
              <w:rPr>
                <w:b/>
                <w:bCs/>
                <w:color w:val="FFFFFF"/>
                <w:sz w:val="18"/>
                <w:szCs w:val="18"/>
              </w:rPr>
              <w:t xml:space="preserve">Dataset</w:t>
            </w:r>
          </w:p>
        </w:tc>
        <w:tc>
          <w:tcPr>
            <w:tcW w:type="dxa" w:w="2400"/>
            <w:shd w:fill="1F2937" w:val="clear"/>
            <w:tcMar>
              <w:top w:type="dxa" w:w="80"/>
              <w:left w:type="dxa" w:w="100"/>
              <w:bottom w:type="dxa" w:w="80"/>
              <w:right w:type="dxa" w:w="100"/>
            </w:tcMar>
          </w:tcPr>
          <w:p>
            <w:r>
              <w:rPr>
                <w:b/>
                <w:bCs/>
                <w:color w:val="FFFFFF"/>
                <w:sz w:val="18"/>
                <w:szCs w:val="18"/>
              </w:rPr>
              <w:t xml:space="preserve">System of Record</w:t>
            </w:r>
          </w:p>
        </w:tc>
        <w:tc>
          <w:tcPr>
            <w:tcW w:type="dxa" w:w="1700"/>
            <w:shd w:fill="1F2937" w:val="clear"/>
            <w:tcMar>
              <w:top w:type="dxa" w:w="80"/>
              <w:left w:type="dxa" w:w="100"/>
              <w:bottom w:type="dxa" w:w="80"/>
              <w:right w:type="dxa" w:w="100"/>
            </w:tcMar>
          </w:tcPr>
          <w:p>
            <w:r>
              <w:rPr>
                <w:b/>
                <w:bCs/>
                <w:color w:val="FFFFFF"/>
                <w:sz w:val="18"/>
                <w:szCs w:val="18"/>
              </w:rPr>
              <w:t xml:space="preserve">Completeness</w:t>
            </w:r>
          </w:p>
        </w:tc>
        <w:tc>
          <w:tcPr>
            <w:tcW w:type="dxa" w:w="2860"/>
            <w:shd w:fill="1F2937" w:val="clear"/>
            <w:tcMar>
              <w:top w:type="dxa" w:w="80"/>
              <w:left w:type="dxa" w:w="100"/>
              <w:bottom w:type="dxa" w:w="80"/>
              <w:right w:type="dxa" w:w="100"/>
            </w:tcMar>
          </w:tcPr>
          <w:p>
            <w:r>
              <w:rPr>
                <w:b/>
                <w:bCs/>
                <w:color w:val="FFFFFF"/>
                <w:sz w:val="18"/>
                <w:szCs w:val="18"/>
              </w:rPr>
              <w:t xml:space="preserve">Known Issue</w:t>
            </w:r>
          </w:p>
        </w:tc>
      </w:tr>
      <w:tr>
        <w:tc>
          <w:tcPr>
            <w:tcW w:type="dxa" w:w="2400"/>
            <w:tcMar>
              <w:top w:type="dxa" w:w="80"/>
              <w:left w:type="dxa" w:w="100"/>
              <w:bottom w:type="dxa" w:w="80"/>
              <w:right w:type="dxa" w:w="100"/>
            </w:tcMar>
          </w:tcPr>
          <w:p>
            <w:r>
              <w:rPr>
                <w:b w:val="false"/>
                <w:bCs w:val="false"/>
                <w:color w:val="000000"/>
                <w:sz w:val="18"/>
                <w:szCs w:val="18"/>
              </w:rPr>
              <w:t xml:space="preserve">Campaign master list</w:t>
            </w:r>
          </w:p>
        </w:tc>
        <w:tc>
          <w:tcPr>
            <w:tcW w:type="dxa" w:w="2400"/>
            <w:tcMar>
              <w:top w:type="dxa" w:w="80"/>
              <w:left w:type="dxa" w:w="100"/>
              <w:bottom w:type="dxa" w:w="80"/>
              <w:right w:type="dxa" w:w="100"/>
            </w:tcMar>
          </w:tcPr>
          <w:p>
            <w:r>
              <w:rPr>
                <w:b w:val="false"/>
                <w:bCs w:val="false"/>
                <w:color w:val="000000"/>
                <w:sz w:val="18"/>
                <w:szCs w:val="18"/>
              </w:rPr>
              <w:t xml:space="preserve">WorkTrack PM</w:t>
            </w:r>
          </w:p>
        </w:tc>
        <w:tc>
          <w:tcPr>
            <w:tcW w:type="dxa" w:w="1700"/>
            <w:tcMar>
              <w:top w:type="dxa" w:w="80"/>
              <w:left w:type="dxa" w:w="100"/>
              <w:bottom w:type="dxa" w:w="80"/>
              <w:right w:type="dxa" w:w="100"/>
            </w:tcMar>
          </w:tcPr>
          <w:p>
            <w:r>
              <w:rPr>
                <w:b w:val="false"/>
                <w:bCs w:val="false"/>
                <w:color w:val="000000"/>
                <w:sz w:val="18"/>
                <w:szCs w:val="18"/>
              </w:rPr>
              <w:t xml:space="preserve">78%</w:t>
            </w:r>
          </w:p>
        </w:tc>
        <w:tc>
          <w:tcPr>
            <w:tcW w:type="dxa" w:w="2860"/>
            <w:tcMar>
              <w:top w:type="dxa" w:w="80"/>
              <w:left w:type="dxa" w:w="100"/>
              <w:bottom w:type="dxa" w:w="80"/>
              <w:right w:type="dxa" w:w="100"/>
            </w:tcMar>
          </w:tcPr>
          <w:p>
            <w:r>
              <w:rPr>
                <w:b w:val="false"/>
                <w:bCs w:val="false"/>
                <w:color w:val="000000"/>
                <w:sz w:val="18"/>
                <w:szCs w:val="18"/>
              </w:rPr>
              <w:t xml:space="preserve">Campaign IDs inconsistent across tools.</w:t>
            </w:r>
          </w:p>
        </w:tc>
      </w:tr>
      <w:tr>
        <w:tc>
          <w:tcPr>
            <w:tcW w:type="dxa" w:w="2400"/>
            <w:shd w:fill="F5F5F0" w:val="clear"/>
            <w:tcMar>
              <w:top w:type="dxa" w:w="80"/>
              <w:left w:type="dxa" w:w="100"/>
              <w:bottom w:type="dxa" w:w="80"/>
              <w:right w:type="dxa" w:w="100"/>
            </w:tcMar>
          </w:tcPr>
          <w:p>
            <w:r>
              <w:rPr>
                <w:b w:val="false"/>
                <w:bCs w:val="false"/>
                <w:color w:val="000000"/>
                <w:sz w:val="18"/>
                <w:szCs w:val="18"/>
              </w:rPr>
              <w:t xml:space="preserve">Brief intake data</w:t>
            </w:r>
          </w:p>
        </w:tc>
        <w:tc>
          <w:tcPr>
            <w:tcW w:type="dxa" w:w="2400"/>
            <w:shd w:fill="F5F5F0" w:val="clear"/>
            <w:tcMar>
              <w:top w:type="dxa" w:w="80"/>
              <w:left w:type="dxa" w:w="100"/>
              <w:bottom w:type="dxa" w:w="80"/>
              <w:right w:type="dxa" w:w="100"/>
            </w:tcMar>
          </w:tcPr>
          <w:p>
            <w:r>
              <w:rPr>
                <w:b w:val="false"/>
                <w:bCs w:val="false"/>
                <w:color w:val="000000"/>
                <w:sz w:val="18"/>
                <w:szCs w:val="18"/>
              </w:rPr>
              <w:t xml:space="preserve">FlowGrid Orchestration</w:t>
            </w:r>
          </w:p>
        </w:tc>
        <w:tc>
          <w:tcPr>
            <w:tcW w:type="dxa" w:w="1700"/>
            <w:shd w:fill="F5F5F0" w:val="clear"/>
            <w:tcMar>
              <w:top w:type="dxa" w:w="80"/>
              <w:left w:type="dxa" w:w="100"/>
              <w:bottom w:type="dxa" w:w="80"/>
              <w:right w:type="dxa" w:w="100"/>
            </w:tcMar>
          </w:tcPr>
          <w:p>
            <w:r>
              <w:rPr>
                <w:b w:val="false"/>
                <w:bCs w:val="false"/>
                <w:color w:val="000000"/>
                <w:sz w:val="18"/>
                <w:szCs w:val="18"/>
              </w:rPr>
              <w:t xml:space="preserve">86%</w:t>
            </w:r>
          </w:p>
        </w:tc>
        <w:tc>
          <w:tcPr>
            <w:tcW w:type="dxa" w:w="2860"/>
            <w:shd w:fill="F5F5F0" w:val="clear"/>
            <w:tcMar>
              <w:top w:type="dxa" w:w="80"/>
              <w:left w:type="dxa" w:w="100"/>
              <w:bottom w:type="dxa" w:w="80"/>
              <w:right w:type="dxa" w:w="100"/>
            </w:tcMar>
          </w:tcPr>
          <w:p>
            <w:r>
              <w:rPr>
                <w:b w:val="false"/>
                <w:bCs w:val="false"/>
                <w:color w:val="000000"/>
                <w:sz w:val="18"/>
                <w:szCs w:val="18"/>
              </w:rPr>
              <w:t xml:space="preserve">Some legacy briefs created outside the intake form.</w:t>
            </w:r>
          </w:p>
        </w:tc>
      </w:tr>
      <w:tr>
        <w:tc>
          <w:tcPr>
            <w:tcW w:type="dxa" w:w="2400"/>
            <w:tcMar>
              <w:top w:type="dxa" w:w="80"/>
              <w:left w:type="dxa" w:w="100"/>
              <w:bottom w:type="dxa" w:w="80"/>
              <w:right w:type="dxa" w:w="100"/>
            </w:tcMar>
          </w:tcPr>
          <w:p>
            <w:r>
              <w:rPr>
                <w:b w:val="false"/>
                <w:bCs w:val="false"/>
                <w:color w:val="000000"/>
                <w:sz w:val="18"/>
                <w:szCs w:val="18"/>
              </w:rPr>
              <w:t xml:space="preserve">Asset metadata</w:t>
            </w:r>
          </w:p>
        </w:tc>
        <w:tc>
          <w:tcPr>
            <w:tcW w:type="dxa" w:w="2400"/>
            <w:tcMar>
              <w:top w:type="dxa" w:w="80"/>
              <w:left w:type="dxa" w:w="100"/>
              <w:bottom w:type="dxa" w:w="80"/>
              <w:right w:type="dxa" w:w="100"/>
            </w:tcMar>
          </w:tcPr>
          <w:p>
            <w:r>
              <w:rPr>
                <w:b w:val="false"/>
                <w:bCs w:val="false"/>
                <w:color w:val="000000"/>
                <w:sz w:val="18"/>
                <w:szCs w:val="18"/>
              </w:rPr>
              <w:t xml:space="preserve">AssetVault DAM</w:t>
            </w:r>
          </w:p>
        </w:tc>
        <w:tc>
          <w:tcPr>
            <w:tcW w:type="dxa" w:w="1700"/>
            <w:tcMar>
              <w:top w:type="dxa" w:w="80"/>
              <w:left w:type="dxa" w:w="100"/>
              <w:bottom w:type="dxa" w:w="80"/>
              <w:right w:type="dxa" w:w="100"/>
            </w:tcMar>
          </w:tcPr>
          <w:p>
            <w:r>
              <w:rPr>
                <w:b w:val="false"/>
                <w:bCs w:val="false"/>
                <w:color w:val="000000"/>
                <w:sz w:val="18"/>
                <w:szCs w:val="18"/>
              </w:rPr>
              <w:t xml:space="preserve">46%</w:t>
            </w:r>
          </w:p>
        </w:tc>
        <w:tc>
          <w:tcPr>
            <w:tcW w:type="dxa" w:w="2860"/>
            <w:tcMar>
              <w:top w:type="dxa" w:w="80"/>
              <w:left w:type="dxa" w:w="100"/>
              <w:bottom w:type="dxa" w:w="80"/>
              <w:right w:type="dxa" w:w="100"/>
            </w:tcMar>
          </w:tcPr>
          <w:p>
            <w:r>
              <w:rPr>
                <w:b w:val="false"/>
                <w:bCs w:val="false"/>
                <w:color w:val="000000"/>
                <w:sz w:val="18"/>
                <w:szCs w:val="18"/>
              </w:rPr>
              <w:t xml:space="preserve">Mandatory metadata not enforced at upload.</w:t>
            </w:r>
          </w:p>
        </w:tc>
      </w:tr>
      <w:tr>
        <w:tc>
          <w:tcPr>
            <w:tcW w:type="dxa" w:w="2400"/>
            <w:shd w:fill="F5F5F0" w:val="clear"/>
            <w:tcMar>
              <w:top w:type="dxa" w:w="80"/>
              <w:left w:type="dxa" w:w="100"/>
              <w:bottom w:type="dxa" w:w="80"/>
              <w:right w:type="dxa" w:w="100"/>
            </w:tcMar>
          </w:tcPr>
          <w:p>
            <w:r>
              <w:rPr>
                <w:b w:val="false"/>
                <w:bCs w:val="false"/>
                <w:color w:val="000000"/>
                <w:sz w:val="18"/>
                <w:szCs w:val="18"/>
              </w:rPr>
              <w:t xml:space="preserve">Product claims and SKU data</w:t>
            </w:r>
          </w:p>
        </w:tc>
        <w:tc>
          <w:tcPr>
            <w:tcW w:type="dxa" w:w="2400"/>
            <w:shd w:fill="F5F5F0" w:val="clear"/>
            <w:tcMar>
              <w:top w:type="dxa" w:w="80"/>
              <w:left w:type="dxa" w:w="100"/>
              <w:bottom w:type="dxa" w:w="80"/>
              <w:right w:type="dxa" w:w="100"/>
            </w:tcMar>
          </w:tcPr>
          <w:p>
            <w:r>
              <w:rPr>
                <w:b w:val="false"/>
                <w:bCs w:val="false"/>
                <w:color w:val="000000"/>
                <w:sz w:val="18"/>
                <w:szCs w:val="18"/>
              </w:rPr>
              <w:t xml:space="preserve">ProductSphere PIM</w:t>
            </w:r>
          </w:p>
        </w:tc>
        <w:tc>
          <w:tcPr>
            <w:tcW w:type="dxa" w:w="1700"/>
            <w:shd w:fill="F5F5F0" w:val="clear"/>
            <w:tcMar>
              <w:top w:type="dxa" w:w="80"/>
              <w:left w:type="dxa" w:w="100"/>
              <w:bottom w:type="dxa" w:w="80"/>
              <w:right w:type="dxa" w:w="100"/>
            </w:tcMar>
          </w:tcPr>
          <w:p>
            <w:r>
              <w:rPr>
                <w:b w:val="false"/>
                <w:bCs w:val="false"/>
                <w:color w:val="000000"/>
                <w:sz w:val="18"/>
                <w:szCs w:val="18"/>
              </w:rPr>
              <w:t xml:space="preserve">91%</w:t>
            </w:r>
          </w:p>
        </w:tc>
        <w:tc>
          <w:tcPr>
            <w:tcW w:type="dxa" w:w="2860"/>
            <w:shd w:fill="F5F5F0" w:val="clear"/>
            <w:tcMar>
              <w:top w:type="dxa" w:w="80"/>
              <w:left w:type="dxa" w:w="100"/>
              <w:bottom w:type="dxa" w:w="80"/>
              <w:right w:type="dxa" w:w="100"/>
            </w:tcMar>
          </w:tcPr>
          <w:p>
            <w:r>
              <w:rPr>
                <w:b w:val="false"/>
                <w:bCs w:val="false"/>
                <w:color w:val="000000"/>
                <w:sz w:val="18"/>
                <w:szCs w:val="18"/>
              </w:rPr>
              <w:t xml:space="preserve">Claims not linked directly into creative approval.</w:t>
            </w:r>
          </w:p>
        </w:tc>
      </w:tr>
      <w:tr>
        <w:tc>
          <w:tcPr>
            <w:tcW w:type="dxa" w:w="2400"/>
            <w:tcMar>
              <w:top w:type="dxa" w:w="80"/>
              <w:left w:type="dxa" w:w="100"/>
              <w:bottom w:type="dxa" w:w="80"/>
              <w:right w:type="dxa" w:w="100"/>
            </w:tcMar>
          </w:tcPr>
          <w:p>
            <w:r>
              <w:rPr>
                <w:b w:val="false"/>
                <w:bCs w:val="false"/>
                <w:color w:val="000000"/>
                <w:sz w:val="18"/>
                <w:szCs w:val="18"/>
              </w:rPr>
              <w:t xml:space="preserve">Production spend</w:t>
            </w:r>
          </w:p>
        </w:tc>
        <w:tc>
          <w:tcPr>
            <w:tcW w:type="dxa" w:w="2400"/>
            <w:tcMar>
              <w:top w:type="dxa" w:w="80"/>
              <w:left w:type="dxa" w:w="100"/>
              <w:bottom w:type="dxa" w:w="80"/>
              <w:right w:type="dxa" w:w="100"/>
            </w:tcMar>
          </w:tcPr>
          <w:p>
            <w:r>
              <w:rPr>
                <w:b w:val="false"/>
                <w:bCs w:val="false"/>
                <w:color w:val="000000"/>
                <w:sz w:val="18"/>
                <w:szCs w:val="18"/>
              </w:rPr>
              <w:t xml:space="preserve">Finance PO export</w:t>
            </w:r>
          </w:p>
        </w:tc>
        <w:tc>
          <w:tcPr>
            <w:tcW w:type="dxa" w:w="1700"/>
            <w:tcMar>
              <w:top w:type="dxa" w:w="80"/>
              <w:left w:type="dxa" w:w="100"/>
              <w:bottom w:type="dxa" w:w="80"/>
              <w:right w:type="dxa" w:w="100"/>
            </w:tcMar>
          </w:tcPr>
          <w:p>
            <w:r>
              <w:rPr>
                <w:b w:val="false"/>
                <w:bCs w:val="false"/>
                <w:color w:val="000000"/>
                <w:sz w:val="18"/>
                <w:szCs w:val="18"/>
              </w:rPr>
              <w:t xml:space="preserve">69%</w:t>
            </w:r>
          </w:p>
        </w:tc>
        <w:tc>
          <w:tcPr>
            <w:tcW w:type="dxa" w:w="2860"/>
            <w:tcMar>
              <w:top w:type="dxa" w:w="80"/>
              <w:left w:type="dxa" w:w="100"/>
              <w:bottom w:type="dxa" w:w="80"/>
              <w:right w:type="dxa" w:w="100"/>
            </w:tcMar>
          </w:tcPr>
          <w:p>
            <w:r>
              <w:rPr>
                <w:b w:val="false"/>
                <w:bCs w:val="false"/>
                <w:color w:val="000000"/>
                <w:sz w:val="18"/>
                <w:szCs w:val="18"/>
              </w:rPr>
              <w:t xml:space="preserve">Cost codes inconsistent across markets.</w:t>
            </w:r>
          </w:p>
        </w:tc>
      </w:tr>
      <w:tr>
        <w:tc>
          <w:tcPr>
            <w:tcW w:type="dxa" w:w="2400"/>
            <w:shd w:fill="F5F5F0" w:val="clear"/>
            <w:tcMar>
              <w:top w:type="dxa" w:w="80"/>
              <w:left w:type="dxa" w:w="100"/>
              <w:bottom w:type="dxa" w:w="80"/>
              <w:right w:type="dxa" w:w="100"/>
            </w:tcMar>
          </w:tcPr>
          <w:p>
            <w:r>
              <w:rPr>
                <w:b w:val="false"/>
                <w:bCs w:val="false"/>
                <w:color w:val="000000"/>
                <w:sz w:val="18"/>
                <w:szCs w:val="18"/>
              </w:rPr>
              <w:t xml:space="preserve">Localisation tracker</w:t>
            </w:r>
          </w:p>
        </w:tc>
        <w:tc>
          <w:tcPr>
            <w:tcW w:type="dxa" w:w="2400"/>
            <w:shd w:fill="F5F5F0" w:val="clear"/>
            <w:tcMar>
              <w:top w:type="dxa" w:w="80"/>
              <w:left w:type="dxa" w:w="100"/>
              <w:bottom w:type="dxa" w:w="80"/>
              <w:right w:type="dxa" w:w="100"/>
            </w:tcMar>
          </w:tcPr>
          <w:p>
            <w:r>
              <w:rPr>
                <w:b w:val="false"/>
                <w:bCs w:val="false"/>
                <w:color w:val="000000"/>
                <w:sz w:val="18"/>
                <w:szCs w:val="18"/>
              </w:rPr>
              <w:t xml:space="preserve">Localization tracker</w:t>
            </w:r>
          </w:p>
        </w:tc>
        <w:tc>
          <w:tcPr>
            <w:tcW w:type="dxa" w:w="1700"/>
            <w:shd w:fill="F5F5F0" w:val="clear"/>
            <w:tcMar>
              <w:top w:type="dxa" w:w="80"/>
              <w:left w:type="dxa" w:w="100"/>
              <w:bottom w:type="dxa" w:w="80"/>
              <w:right w:type="dxa" w:w="100"/>
            </w:tcMar>
          </w:tcPr>
          <w:p>
            <w:r>
              <w:rPr>
                <w:b w:val="false"/>
                <w:bCs w:val="false"/>
                <w:color w:val="000000"/>
                <w:sz w:val="18"/>
                <w:szCs w:val="18"/>
              </w:rPr>
              <w:t xml:space="preserve">88%</w:t>
            </w:r>
          </w:p>
        </w:tc>
        <w:tc>
          <w:tcPr>
            <w:tcW w:type="dxa" w:w="2860"/>
            <w:shd w:fill="F5F5F0" w:val="clear"/>
            <w:tcMar>
              <w:top w:type="dxa" w:w="80"/>
              <w:left w:type="dxa" w:w="100"/>
              <w:bottom w:type="dxa" w:w="80"/>
              <w:right w:type="dxa" w:w="100"/>
            </w:tcMar>
          </w:tcPr>
          <w:p>
            <w:r>
              <w:rPr>
                <w:b w:val="false"/>
                <w:bCs w:val="false"/>
                <w:color w:val="000000"/>
                <w:sz w:val="18"/>
                <w:szCs w:val="18"/>
              </w:rPr>
              <w:t xml:space="preserve">Local market feedback reasons are free text.</w:t>
            </w:r>
          </w:p>
        </w:tc>
      </w:tr>
      <w:tr>
        <w:tc>
          <w:tcPr>
            <w:tcW w:type="dxa" w:w="2400"/>
            <w:tcMar>
              <w:top w:type="dxa" w:w="80"/>
              <w:left w:type="dxa" w:w="100"/>
              <w:bottom w:type="dxa" w:w="80"/>
              <w:right w:type="dxa" w:w="100"/>
            </w:tcMar>
          </w:tcPr>
          <w:p>
            <w:r>
              <w:rPr>
                <w:b w:val="false"/>
                <w:bCs w:val="false"/>
                <w:color w:val="000000"/>
                <w:sz w:val="18"/>
                <w:szCs w:val="18"/>
              </w:rPr>
              <w:t xml:space="preserve">Weekly performance data</w:t>
            </w:r>
          </w:p>
        </w:tc>
        <w:tc>
          <w:tcPr>
            <w:tcW w:type="dxa" w:w="2400"/>
            <w:tcMar>
              <w:top w:type="dxa" w:w="80"/>
              <w:left w:type="dxa" w:w="100"/>
              <w:bottom w:type="dxa" w:w="80"/>
              <w:right w:type="dxa" w:w="100"/>
            </w:tcMar>
          </w:tcPr>
          <w:p>
            <w:r>
              <w:rPr>
                <w:b w:val="false"/>
                <w:bCs w:val="false"/>
                <w:color w:val="000000"/>
                <w:sz w:val="18"/>
                <w:szCs w:val="18"/>
              </w:rPr>
              <w:t xml:space="preserve">InsightBoard BI</w:t>
            </w:r>
          </w:p>
        </w:tc>
        <w:tc>
          <w:tcPr>
            <w:tcW w:type="dxa" w:w="1700"/>
            <w:tcMar>
              <w:top w:type="dxa" w:w="80"/>
              <w:left w:type="dxa" w:w="100"/>
              <w:bottom w:type="dxa" w:w="80"/>
              <w:right w:type="dxa" w:w="100"/>
            </w:tcMar>
          </w:tcPr>
          <w:p>
            <w:r>
              <w:rPr>
                <w:b w:val="false"/>
                <w:bCs w:val="false"/>
                <w:color w:val="000000"/>
                <w:sz w:val="18"/>
                <w:szCs w:val="18"/>
              </w:rPr>
              <w:t xml:space="preserve">72%</w:t>
            </w:r>
          </w:p>
        </w:tc>
        <w:tc>
          <w:tcPr>
            <w:tcW w:type="dxa" w:w="2860"/>
            <w:tcMar>
              <w:top w:type="dxa" w:w="80"/>
              <w:left w:type="dxa" w:w="100"/>
              <w:bottom w:type="dxa" w:w="80"/>
              <w:right w:type="dxa" w:w="100"/>
            </w:tcMar>
          </w:tcPr>
          <w:p>
            <w:r>
              <w:rPr>
                <w:b w:val="false"/>
                <w:bCs w:val="false"/>
                <w:color w:val="000000"/>
                <w:sz w:val="18"/>
                <w:szCs w:val="18"/>
              </w:rPr>
              <w:t xml:space="preserve">Retail and social feeds require manual uploads.</w:t>
            </w:r>
          </w:p>
        </w:tc>
      </w:tr>
      <w:tr>
        <w:tc>
          <w:tcPr>
            <w:tcW w:type="dxa" w:w="2400"/>
            <w:shd w:fill="F5F5F0" w:val="clear"/>
            <w:tcMar>
              <w:top w:type="dxa" w:w="80"/>
              <w:left w:type="dxa" w:w="100"/>
              <w:bottom w:type="dxa" w:w="80"/>
              <w:right w:type="dxa" w:w="100"/>
            </w:tcMar>
          </w:tcPr>
          <w:p>
            <w:r>
              <w:rPr>
                <w:b w:val="false"/>
                <w:bCs w:val="false"/>
                <w:color w:val="000000"/>
                <w:sz w:val="18"/>
                <w:szCs w:val="18"/>
              </w:rPr>
              <w:t xml:space="preserve">Creator performance</w:t>
            </w:r>
          </w:p>
        </w:tc>
        <w:tc>
          <w:tcPr>
            <w:tcW w:type="dxa" w:w="2400"/>
            <w:shd w:fill="F5F5F0" w:val="clear"/>
            <w:tcMar>
              <w:top w:type="dxa" w:w="80"/>
              <w:left w:type="dxa" w:w="100"/>
              <w:bottom w:type="dxa" w:w="80"/>
              <w:right w:type="dxa" w:w="100"/>
            </w:tcMar>
          </w:tcPr>
          <w:p>
            <w:r>
              <w:rPr>
                <w:b w:val="false"/>
                <w:bCs w:val="false"/>
                <w:color w:val="000000"/>
                <w:sz w:val="18"/>
                <w:szCs w:val="18"/>
              </w:rPr>
              <w:t xml:space="preserve">Creator platform</w:t>
            </w:r>
          </w:p>
        </w:tc>
        <w:tc>
          <w:tcPr>
            <w:tcW w:type="dxa" w:w="1700"/>
            <w:shd w:fill="F5F5F0" w:val="clear"/>
            <w:tcMar>
              <w:top w:type="dxa" w:w="80"/>
              <w:left w:type="dxa" w:w="100"/>
              <w:bottom w:type="dxa" w:w="80"/>
              <w:right w:type="dxa" w:w="100"/>
            </w:tcMar>
          </w:tcPr>
          <w:p>
            <w:r>
              <w:rPr>
                <w:b w:val="false"/>
                <w:bCs w:val="false"/>
                <w:color w:val="000000"/>
                <w:sz w:val="18"/>
                <w:szCs w:val="18"/>
              </w:rPr>
              <w:t xml:space="preserve">64%</w:t>
            </w:r>
          </w:p>
        </w:tc>
        <w:tc>
          <w:tcPr>
            <w:tcW w:type="dxa" w:w="2860"/>
            <w:shd w:fill="F5F5F0" w:val="clear"/>
            <w:tcMar>
              <w:top w:type="dxa" w:w="80"/>
              <w:left w:type="dxa" w:w="100"/>
              <w:bottom w:type="dxa" w:w="80"/>
              <w:right w:type="dxa" w:w="100"/>
            </w:tcMar>
          </w:tcPr>
          <w:p>
            <w:r>
              <w:rPr>
                <w:b w:val="false"/>
                <w:bCs w:val="false"/>
                <w:color w:val="000000"/>
                <w:sz w:val="18"/>
                <w:szCs w:val="18"/>
              </w:rPr>
              <w:t xml:space="preserve">Rights status and performance data are held separately.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8B2E" w:sz="4"/>
              <w:left w:val="single" w:color="B98B2E" w:sz="4"/>
              <w:bottom w:val="single" w:color="B98B2E" w:sz="4"/>
              <w:right w:val="single" w:color="B98B2E" w:sz="4"/>
            </w:tcBorders>
            <w:shd w:fill="FCF3DF" w:val="clear"/>
            <w:tcMar>
              <w:top w:type="dxa" w:w="160"/>
              <w:left w:type="dxa" w:w="220"/>
              <w:bottom w:type="dxa" w:w="160"/>
              <w:right w:type="dxa" w:w="220"/>
            </w:tcMar>
          </w:tcPr>
          <w:p>
            <w:pPr>
              <w:spacing w:after="100"/>
            </w:pPr>
            <w:r>
              <w:rPr>
                <w:b/>
                <w:bCs/>
                <w:sz w:val="20"/>
                <w:szCs w:val="20"/>
              </w:rPr>
              <w:t xml:space="preserve">Our recommendation</w:t>
            </w:r>
          </w:p>
          <w:p>
            <w:pPr>
              <w:pStyle w:val="ListParagraph"/>
              <w:numPr>
                <w:ilvl w:val="0"/>
                <w:numId w:val="1"/>
              </w:numPr>
              <w:spacing w:after="60"/>
            </w:pPr>
            <w:r>
              <w:t xml:space="preserve">Asset metadata (46%) is the weakest link and it sits directly under WF08, the single highest-impact workflow in the model. Fix metadata enforcement before Wave 1 content-prep automation goes live, not after.</w:t>
            </w:r>
          </w:p>
          <w:p>
            <w:pPr>
              <w:pStyle w:val="ListParagraph"/>
              <w:numPr>
                <w:ilvl w:val="0"/>
                <w:numId w:val="1"/>
              </w:numPr>
              <w:spacing w:after="60"/>
            </w:pPr>
            <w:r>
              <w:t xml:space="preserve">Campaign master list inconsistency (78%, IDs not aligned across tools) is why Risk R05 exists. It's the same root cause showing up twice in the data. Treat it as one fix, not two.</w:t>
            </w:r>
          </w:p>
        </w:tc>
      </w:tr>
    </w:tbl>
    <w:p>
      <w:pPr>
        <w:pStyle w:val="Heading1"/>
        <w:spacing w:after="160" w:before="360"/>
      </w:pPr>
      <w:r>
        <w:t xml:space="preserve">14. Recommended Next Steps</w:t>
      </w:r>
    </w:p>
    <w:p>
      <w:pPr>
        <w:pStyle w:val="ListParagraph"/>
        <w:numPr>
          <w:ilvl w:val="0"/>
          <w:numId w:val="1"/>
        </w:numPr>
        <w:spacing w:after="80"/>
      </w:pPr>
      <w:r>
        <w:t xml:space="preserve">Assign RACI owners for WF11 and WF12 before either is scoped into a pilot wave.</w:t>
      </w:r>
    </w:p>
    <w:p>
      <w:pPr>
        <w:pStyle w:val="ListParagraph"/>
        <w:numPr>
          <w:ilvl w:val="0"/>
          <w:numId w:val="1"/>
        </w:numPr>
        <w:spacing w:after="80"/>
      </w:pPr>
      <w:r>
        <w:t xml:space="preserve">Approve the Wave 1 pilot scope and the brief-completeness gate (58% to 85% target) before any AI-assisted routing goes live.</w:t>
      </w:r>
    </w:p>
    <w:p>
      <w:pPr>
        <w:pStyle w:val="ListParagraph"/>
        <w:numPr>
          <w:ilvl w:val="0"/>
          <w:numId w:val="1"/>
        </w:numPr>
        <w:spacing w:after="80"/>
      </w:pPr>
      <w:r>
        <w:t xml:space="preserve">Take the four-tool consolidation decision (VidioGen A/B, PersonaDub, LocalVoice AI) to Procurement independently of the wider program timeline. It does not need to wait.</w:t>
      </w:r>
    </w:p>
    <w:p>
      <w:pPr>
        <w:pStyle w:val="ListParagraph"/>
        <w:numPr>
          <w:ilvl w:val="0"/>
          <w:numId w:val="1"/>
        </w:numPr>
        <w:spacing w:after="80"/>
      </w:pPr>
      <w:r>
        <w:t xml:space="preserve">Fix asset metadata enforcement at upload before Wave 1 content-prep automation goes live.</w:t>
      </w:r>
    </w:p>
    <w:p>
      <w:pPr>
        <w:pStyle w:val="ListParagraph"/>
        <w:numPr>
          <w:ilvl w:val="0"/>
          <w:numId w:val="1"/>
        </w:numPr>
        <w:spacing w:after="80"/>
      </w:pPr>
      <w:r>
        <w:t xml:space="preserve">Approve the AI usage policy and review gates for claims-adjacent content before ClaimSafe Review integration starts. This closes Risk R02 and is a precondition for Wave 1, not a parallel track.</w:t>
      </w:r>
    </w:p>
    <w:p>
      <w:pPr>
        <w:pStyle w:val="ListParagraph"/>
        <w:numPr>
          <w:ilvl w:val="0"/>
          <w:numId w:val="1"/>
        </w:numPr>
        <w:spacing w:after="80"/>
      </w:pPr>
      <w:r>
        <w:t xml:space="preserve">Resolve campaign ID inconsistency once, as the shared root cause behind Risk R05 and the 78% campaign master list completeness gap.</w:t>
      </w:r>
    </w:p>
    <w:p>
      <w:pPr>
        <w:pStyle w:val="ListParagraph"/>
        <w:numPr>
          <w:ilvl w:val="0"/>
          <w:numId w:val="1"/>
        </w:numPr>
        <w:spacing w:after="80"/>
      </w:pPr>
      <w:r>
        <w:t xml:space="preserve">Decide now how AI-productivity savings, spend recovery, and tooling rationalisation will be reported: three lines, not one blended figure.</w:t>
      </w:r>
    </w:p>
    <w:p>
      <w:pPr>
        <w:pStyle w:val="ListParagraph"/>
        <w:numPr>
          <w:ilvl w:val="0"/>
          <w:numId w:val="1"/>
        </w:numPr>
        <w:spacing w:after="80"/>
      </w:pPr>
      <w:r>
        <w:t xml:space="preserve">Confirm whether a revenue-growth case is required. If yes, define the KPI needed to evidence it before the next report iteration.</w:t>
      </w:r>
    </w:p>
    <w:p>
      <w:pPr>
        <w:pStyle w:val="ListParagraph"/>
        <w:numPr>
          <w:ilvl w:val="0"/>
          <w:numId w:val="1"/>
        </w:numPr>
        <w:spacing w:after="80"/>
      </w:pPr>
      <w:r>
        <w:t xml:space="preserve">Confirm the scope of KPI24's GBP 0.4m tooling rationalisation target. The bottom-up check on the four flagged tools only accounts for GBP 0.12m of it, a diverges result per the cross-check in Section 11.</w:t>
      </w:r>
    </w:p>
    <w:p>
      <w:pPr>
        <w:sectPr>
          <w:footerReference w:type="default" r:id="rId7"/>
          <w:pgSz w:w="11906" w:h="16838" w:orient="portrait"/>
          <w:pgMar w:top="1440" w:right="1440" w:bottom="1440" w:left="1440" w:header="708" w:footer="708" w:gutter="0"/>
          <w:pgNumType/>
          <w:docGrid w:linePitch="360"/>
        </w:sectPr>
      </w:pPr>
    </w:p>
    <w:p>
      <w:pPr>
        <w:pStyle w:val="Heading1"/>
        <w:spacing w:after="160"/>
      </w:pPr>
      <w:r>
        <w:t xml:space="preserve">Appendix A: Full Workflow Data</w:t>
      </w:r>
    </w:p>
    <w:p>
      <w:pPr>
        <w:spacing w:after="160"/>
      </w:pPr>
      <w:r>
        <w:rPr>
          <w:b w:val="false"/>
          <w:bCs w:val="false"/>
          <w:i w:val="false"/>
          <w:iCs w:val="false"/>
          <w:sz w:val="21"/>
          <w:szCs w:val="21"/>
        </w:rPr>
        <w:t xml:space="preserve">Complete operating data for all 12 workflows, referenced from Section 2. Landscape orientation, 9 columns exceeds the 6-column main-body threshold.</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100"/>
        <w:gridCol w:w="1100"/>
        <w:gridCol w:w="1000"/>
        <w:gridCol w:w="900"/>
        <w:gridCol w:w="900"/>
        <w:gridCol w:w="1400"/>
        <w:gridCol w:w="1200"/>
      </w:tblGrid>
      <w:tr>
        <w:trPr>
          <w:tblHeader/>
        </w:trPr>
        <w:tc>
          <w:tcPr>
            <w:tcW w:type="dxa" w:w="900"/>
            <w:shd w:fill="1F2937" w:val="clear"/>
            <w:tcMar>
              <w:top w:type="dxa" w:w="80"/>
              <w:left w:type="dxa" w:w="100"/>
              <w:bottom w:type="dxa" w:w="80"/>
              <w:right w:type="dxa" w:w="100"/>
            </w:tcMar>
          </w:tcPr>
          <w:p>
            <w:r>
              <w:rPr>
                <w:b/>
                <w:bCs/>
                <w:color w:val="FFFFFF"/>
                <w:sz w:val="18"/>
                <w:szCs w:val="18"/>
              </w:rPr>
              <w:t xml:space="preserve">ID</w:t>
            </w:r>
          </w:p>
        </w:tc>
        <w:tc>
          <w:tcPr>
            <w:tcW w:type="dxa" w:w="5400"/>
            <w:shd w:fill="1F2937" w:val="clear"/>
            <w:tcMar>
              <w:top w:type="dxa" w:w="80"/>
              <w:left w:type="dxa" w:w="100"/>
              <w:bottom w:type="dxa" w:w="80"/>
              <w:right w:type="dxa" w:w="100"/>
            </w:tcMar>
          </w:tcPr>
          <w:p>
            <w:r>
              <w:rPr>
                <w:b/>
                <w:bCs/>
                <w:color w:val="FFFFFF"/>
                <w:sz w:val="18"/>
                <w:szCs w:val="18"/>
              </w:rPr>
              <w:t xml:space="preserve">Workflow</w:t>
            </w:r>
          </w:p>
        </w:tc>
        <w:tc>
          <w:tcPr>
            <w:tcW w:type="dxa" w:w="1100"/>
            <w:shd w:fill="1F2937" w:val="clear"/>
            <w:tcMar>
              <w:top w:type="dxa" w:w="80"/>
              <w:left w:type="dxa" w:w="100"/>
              <w:bottom w:type="dxa" w:w="80"/>
              <w:right w:type="dxa" w:w="100"/>
            </w:tcMar>
          </w:tcPr>
          <w:p>
            <w:r>
              <w:rPr>
                <w:b/>
                <w:bCs/>
                <w:color w:val="FFFFFF"/>
                <w:sz w:val="18"/>
                <w:szCs w:val="18"/>
              </w:rPr>
              <w:t xml:space="preserve">Volume</w:t>
            </w:r>
          </w:p>
        </w:tc>
        <w:tc>
          <w:tcPr>
            <w:tcW w:type="dxa" w:w="1100"/>
            <w:shd w:fill="1F2937" w:val="clear"/>
            <w:tcMar>
              <w:top w:type="dxa" w:w="80"/>
              <w:left w:type="dxa" w:w="100"/>
              <w:bottom w:type="dxa" w:w="80"/>
              <w:right w:type="dxa" w:w="100"/>
            </w:tcMar>
          </w:tcPr>
          <w:p>
            <w:r>
              <w:rPr>
                <w:b/>
                <w:bCs/>
                <w:color w:val="FFFFFF"/>
                <w:sz w:val="18"/>
                <w:szCs w:val="18"/>
              </w:rPr>
              <w:t xml:space="preserve">Cycle Time</w:t>
            </w:r>
          </w:p>
        </w:tc>
        <w:tc>
          <w:tcPr>
            <w:tcW w:type="dxa" w:w="1000"/>
            <w:shd w:fill="1F2937" w:val="clear"/>
            <w:tcMar>
              <w:top w:type="dxa" w:w="80"/>
              <w:left w:type="dxa" w:w="100"/>
              <w:bottom w:type="dxa" w:w="80"/>
              <w:right w:type="dxa" w:w="100"/>
            </w:tcMar>
          </w:tcPr>
          <w:p>
            <w:r>
              <w:rPr>
                <w:b/>
                <w:bCs/>
                <w:color w:val="FFFFFF"/>
                <w:sz w:val="18"/>
                <w:szCs w:val="18"/>
              </w:rPr>
              <w:t xml:space="preserve">Rework</w:t>
            </w:r>
          </w:p>
        </w:tc>
        <w:tc>
          <w:tcPr>
            <w:tcW w:type="dxa" w:w="900"/>
            <w:shd w:fill="1F2937" w:val="clear"/>
            <w:tcMar>
              <w:top w:type="dxa" w:w="80"/>
              <w:left w:type="dxa" w:w="100"/>
              <w:bottom w:type="dxa" w:w="80"/>
              <w:right w:type="dxa" w:w="100"/>
            </w:tcMar>
          </w:tcPr>
          <w:p>
            <w:r>
              <w:rPr>
                <w:b/>
                <w:bCs/>
                <w:color w:val="FFFFFF"/>
                <w:sz w:val="18"/>
                <w:szCs w:val="18"/>
              </w:rPr>
              <w:t xml:space="preserve">Impact</w:t>
            </w:r>
          </w:p>
        </w:tc>
        <w:tc>
          <w:tcPr>
            <w:tcW w:type="dxa" w:w="900"/>
            <w:shd w:fill="1F2937" w:val="clear"/>
            <w:tcMar>
              <w:top w:type="dxa" w:w="80"/>
              <w:left w:type="dxa" w:w="100"/>
              <w:bottom w:type="dxa" w:w="80"/>
              <w:right w:type="dxa" w:w="100"/>
            </w:tcMar>
          </w:tcPr>
          <w:p>
            <w:r>
              <w:rPr>
                <w:b/>
                <w:bCs/>
                <w:color w:val="FFFFFF"/>
                <w:sz w:val="18"/>
                <w:szCs w:val="18"/>
              </w:rPr>
              <w:t xml:space="preserve">Effort</w:t>
            </w:r>
          </w:p>
        </w:tc>
        <w:tc>
          <w:tcPr>
            <w:tcW w:type="dxa" w:w="1400"/>
            <w:shd w:fill="1F2937" w:val="clear"/>
            <w:tcMar>
              <w:top w:type="dxa" w:w="80"/>
              <w:left w:type="dxa" w:w="100"/>
              <w:bottom w:type="dxa" w:w="80"/>
              <w:right w:type="dxa" w:w="100"/>
            </w:tcMar>
          </w:tcPr>
          <w:p>
            <w:r>
              <w:rPr>
                <w:b/>
                <w:bCs/>
                <w:color w:val="FFFFFF"/>
                <w:sz w:val="18"/>
                <w:szCs w:val="18"/>
              </w:rPr>
              <w:t xml:space="preserve">AI Readiness</w:t>
            </w:r>
          </w:p>
        </w:tc>
        <w:tc>
          <w:tcPr>
            <w:tcW w:type="dxa" w:w="1200"/>
            <w:shd w:fill="1F2937" w:val="clear"/>
            <w:tcMar>
              <w:top w:type="dxa" w:w="80"/>
              <w:left w:type="dxa" w:w="100"/>
              <w:bottom w:type="dxa" w:w="80"/>
              <w:right w:type="dxa" w:w="100"/>
            </w:tcMar>
          </w:tcPr>
          <w:p>
            <w:r>
              <w:rPr>
                <w:b/>
                <w:bCs/>
                <w:color w:val="FFFFFF"/>
                <w:sz w:val="18"/>
                <w:szCs w:val="18"/>
              </w:rPr>
              <w:t xml:space="preserve">Wave</w:t>
            </w:r>
          </w:p>
        </w:tc>
      </w:tr>
      <w:tr>
        <w:tc>
          <w:tcPr>
            <w:tcW w:type="dxa" w:w="900"/>
            <w:tcMar>
              <w:top w:type="dxa" w:w="80"/>
              <w:left w:type="dxa" w:w="100"/>
              <w:bottom w:type="dxa" w:w="80"/>
              <w:right w:type="dxa" w:w="100"/>
            </w:tcMar>
          </w:tcPr>
          <w:p>
            <w:r>
              <w:rPr>
                <w:b w:val="false"/>
                <w:bCs w:val="false"/>
                <w:color w:val="000000"/>
                <w:sz w:val="18"/>
                <w:szCs w:val="18"/>
              </w:rPr>
              <w:t xml:space="preserve">WF01</w:t>
            </w:r>
          </w:p>
        </w:tc>
        <w:tc>
          <w:tcPr>
            <w:tcW w:type="dxa" w:w="5400"/>
            <w:tcMar>
              <w:top w:type="dxa" w:w="80"/>
              <w:left w:type="dxa" w:w="100"/>
              <w:bottom w:type="dxa" w:w="80"/>
              <w:right w:type="dxa" w:w="100"/>
            </w:tcMar>
          </w:tcPr>
          <w:p>
            <w:r>
              <w:rPr>
                <w:b w:val="false"/>
                <w:bCs w:val="false"/>
                <w:color w:val="000000"/>
                <w:sz w:val="18"/>
                <w:szCs w:val="18"/>
              </w:rPr>
              <w:t xml:space="preserve">Brand growth &amp; annual planning</w:t>
            </w:r>
          </w:p>
        </w:tc>
        <w:tc>
          <w:tcPr>
            <w:tcW w:type="dxa" w:w="1100"/>
            <w:tcMar>
              <w:top w:type="dxa" w:w="80"/>
              <w:left w:type="dxa" w:w="100"/>
              <w:bottom w:type="dxa" w:w="80"/>
              <w:right w:type="dxa" w:w="100"/>
            </w:tcMar>
          </w:tcPr>
          <w:p>
            <w:r>
              <w:rPr>
                <w:b w:val="false"/>
                <w:bCs w:val="false"/>
                <w:color w:val="000000"/>
                <w:sz w:val="18"/>
                <w:szCs w:val="18"/>
              </w:rPr>
              <w:t xml:space="preserve">6/mo</w:t>
            </w:r>
          </w:p>
        </w:tc>
        <w:tc>
          <w:tcPr>
            <w:tcW w:type="dxa" w:w="1100"/>
            <w:tcMar>
              <w:top w:type="dxa" w:w="80"/>
              <w:left w:type="dxa" w:w="100"/>
              <w:bottom w:type="dxa" w:w="80"/>
              <w:right w:type="dxa" w:w="100"/>
            </w:tcMar>
          </w:tcPr>
          <w:p>
            <w:r>
              <w:rPr>
                <w:b w:val="false"/>
                <w:bCs w:val="false"/>
                <w:color w:val="000000"/>
                <w:sz w:val="18"/>
                <w:szCs w:val="18"/>
              </w:rPr>
              <w:t xml:space="preserve">28d</w:t>
            </w:r>
          </w:p>
        </w:tc>
        <w:tc>
          <w:tcPr>
            <w:tcW w:type="dxa" w:w="1000"/>
            <w:tcMar>
              <w:top w:type="dxa" w:w="80"/>
              <w:left w:type="dxa" w:w="100"/>
              <w:bottom w:type="dxa" w:w="80"/>
              <w:right w:type="dxa" w:w="100"/>
            </w:tcMar>
          </w:tcPr>
          <w:p>
            <w:r>
              <w:rPr>
                <w:b w:val="false"/>
                <w:bCs w:val="false"/>
                <w:color w:val="000000"/>
                <w:sz w:val="18"/>
                <w:szCs w:val="18"/>
              </w:rPr>
              <w:t xml:space="preserve">18%</w:t>
            </w:r>
          </w:p>
        </w:tc>
        <w:tc>
          <w:tcPr>
            <w:tcW w:type="dxa" w:w="900"/>
            <w:tcMar>
              <w:top w:type="dxa" w:w="80"/>
              <w:left w:type="dxa" w:w="100"/>
              <w:bottom w:type="dxa" w:w="80"/>
              <w:right w:type="dxa" w:w="100"/>
            </w:tcMar>
          </w:tcPr>
          <w:p>
            <w:r>
              <w:rPr>
                <w:b w:val="false"/>
                <w:bCs w:val="false"/>
                <w:color w:val="000000"/>
                <w:sz w:val="18"/>
                <w:szCs w:val="18"/>
              </w:rPr>
              <w:t xml:space="preserve">8</w:t>
            </w:r>
          </w:p>
        </w:tc>
        <w:tc>
          <w:tcPr>
            <w:tcW w:type="dxa" w:w="900"/>
            <w:tcMar>
              <w:top w:type="dxa" w:w="80"/>
              <w:left w:type="dxa" w:w="100"/>
              <w:bottom w:type="dxa" w:w="80"/>
              <w:right w:type="dxa" w:w="100"/>
            </w:tcMar>
          </w:tcPr>
          <w:p>
            <w:r>
              <w:rPr>
                <w:b w:val="false"/>
                <w:bCs w:val="false"/>
                <w:color w:val="000000"/>
                <w:sz w:val="18"/>
                <w:szCs w:val="18"/>
              </w:rPr>
              <w:t xml:space="preserve">7</w:t>
            </w:r>
          </w:p>
        </w:tc>
        <w:tc>
          <w:tcPr>
            <w:tcW w:type="dxa" w:w="1400"/>
            <w:tcMar>
              <w:top w:type="dxa" w:w="80"/>
              <w:left w:type="dxa" w:w="100"/>
              <w:bottom w:type="dxa" w:w="80"/>
              <w:right w:type="dxa" w:w="100"/>
            </w:tcMar>
          </w:tcPr>
          <w:p>
            <w:r>
              <w:rPr>
                <w:b w:val="false"/>
                <w:bCs w:val="false"/>
                <w:color w:val="000000"/>
                <w:sz w:val="18"/>
                <w:szCs w:val="18"/>
              </w:rPr>
              <w:t xml:space="preserve">Medium</w:t>
            </w:r>
          </w:p>
        </w:tc>
        <w:tc>
          <w:tcPr>
            <w:tcW w:type="dxa" w:w="1200"/>
            <w:tcMar>
              <w:top w:type="dxa" w:w="80"/>
              <w:left w:type="dxa" w:w="100"/>
              <w:bottom w:type="dxa" w:w="80"/>
              <w:right w:type="dxa" w:w="100"/>
            </w:tcMar>
          </w:tcPr>
          <w:p>
            <w:r>
              <w:rPr>
                <w:b w:val="false"/>
                <w:bCs w:val="false"/>
                <w:color w:val="000000"/>
                <w:sz w:val="18"/>
                <w:szCs w:val="18"/>
              </w:rPr>
              <w:t xml:space="preserve">Wave 3</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WF02</w:t>
            </w:r>
          </w:p>
        </w:tc>
        <w:tc>
          <w:tcPr>
            <w:tcW w:type="dxa" w:w="5400"/>
            <w:shd w:fill="F5F5F0" w:val="clear"/>
            <w:tcMar>
              <w:top w:type="dxa" w:w="80"/>
              <w:left w:type="dxa" w:w="100"/>
              <w:bottom w:type="dxa" w:w="80"/>
              <w:right w:type="dxa" w:w="100"/>
            </w:tcMar>
          </w:tcPr>
          <w:p>
            <w:r>
              <w:rPr>
                <w:b w:val="false"/>
                <w:bCs w:val="false"/>
                <w:color w:val="000000"/>
                <w:sz w:val="18"/>
                <w:szCs w:val="18"/>
              </w:rPr>
              <w:t xml:space="preserve">Audience &amp; investment planning</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18/mo</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15d</w:t>
            </w:r>
          </w:p>
        </w:tc>
        <w:tc>
          <w:tcPr>
            <w:tcW w:type="dxa" w:w="1000"/>
            <w:shd w:fill="F5F5F0" w:val="clear"/>
            <w:tcMar>
              <w:top w:type="dxa" w:w="80"/>
              <w:left w:type="dxa" w:w="100"/>
              <w:bottom w:type="dxa" w:w="80"/>
              <w:right w:type="dxa" w:w="100"/>
            </w:tcMar>
          </w:tcPr>
          <w:p>
            <w:r>
              <w:rPr>
                <w:b w:val="false"/>
                <w:bCs w:val="false"/>
                <w:color w:val="000000"/>
                <w:sz w:val="18"/>
                <w:szCs w:val="18"/>
              </w:rPr>
              <w:t xml:space="preserve">14%</w:t>
            </w:r>
          </w:p>
        </w:tc>
        <w:tc>
          <w:tcPr>
            <w:tcW w:type="dxa" w:w="900"/>
            <w:shd w:fill="F5F5F0" w:val="clear"/>
            <w:tcMar>
              <w:top w:type="dxa" w:w="80"/>
              <w:left w:type="dxa" w:w="100"/>
              <w:bottom w:type="dxa" w:w="80"/>
              <w:right w:type="dxa" w:w="100"/>
            </w:tcMar>
          </w:tcPr>
          <w:p>
            <w:r>
              <w:rPr>
                <w:b w:val="false"/>
                <w:bCs w:val="false"/>
                <w:color w:val="000000"/>
                <w:sz w:val="18"/>
                <w:szCs w:val="18"/>
              </w:rPr>
              <w:t xml:space="preserve">7</w:t>
            </w:r>
          </w:p>
        </w:tc>
        <w:tc>
          <w:tcPr>
            <w:tcW w:type="dxa" w:w="900"/>
            <w:shd w:fill="F5F5F0" w:val="clear"/>
            <w:tcMar>
              <w:top w:type="dxa" w:w="80"/>
              <w:left w:type="dxa" w:w="100"/>
              <w:bottom w:type="dxa" w:w="80"/>
              <w:right w:type="dxa" w:w="100"/>
            </w:tcMar>
          </w:tcPr>
          <w:p>
            <w:r>
              <w:rPr>
                <w:b w:val="false"/>
                <w:bCs w:val="false"/>
                <w:color w:val="000000"/>
                <w:sz w:val="18"/>
                <w:szCs w:val="18"/>
              </w:rPr>
              <w:t xml:space="preserve">6</w:t>
            </w:r>
          </w:p>
        </w:tc>
        <w:tc>
          <w:tcPr>
            <w:tcW w:type="dxa" w:w="14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200"/>
            <w:shd w:fill="F5F5F0" w:val="clear"/>
            <w:tcMar>
              <w:top w:type="dxa" w:w="80"/>
              <w:left w:type="dxa" w:w="100"/>
              <w:bottom w:type="dxa" w:w="80"/>
              <w:right w:type="dxa" w:w="100"/>
            </w:tcMar>
          </w:tcPr>
          <w:p>
            <w:r>
              <w:rPr>
                <w:b w:val="false"/>
                <w:bCs w:val="false"/>
                <w:color w:val="000000"/>
                <w:sz w:val="18"/>
                <w:szCs w:val="18"/>
              </w:rPr>
              <w:t xml:space="preserve">Wave 3</w:t>
            </w:r>
          </w:p>
        </w:tc>
      </w:tr>
      <w:tr>
        <w:tc>
          <w:tcPr>
            <w:tcW w:type="dxa" w:w="900"/>
            <w:tcMar>
              <w:top w:type="dxa" w:w="80"/>
              <w:left w:type="dxa" w:w="100"/>
              <w:bottom w:type="dxa" w:w="80"/>
              <w:right w:type="dxa" w:w="100"/>
            </w:tcMar>
          </w:tcPr>
          <w:p>
            <w:r>
              <w:rPr>
                <w:b w:val="false"/>
                <w:bCs w:val="false"/>
                <w:color w:val="000000"/>
                <w:sz w:val="18"/>
                <w:szCs w:val="18"/>
              </w:rPr>
              <w:t xml:space="preserve">WF03</w:t>
            </w:r>
          </w:p>
        </w:tc>
        <w:tc>
          <w:tcPr>
            <w:tcW w:type="dxa" w:w="5400"/>
            <w:tcMar>
              <w:top w:type="dxa" w:w="80"/>
              <w:left w:type="dxa" w:w="100"/>
              <w:bottom w:type="dxa" w:w="80"/>
              <w:right w:type="dxa" w:w="100"/>
            </w:tcMar>
          </w:tcPr>
          <w:p>
            <w:r>
              <w:rPr>
                <w:b w:val="false"/>
                <w:bCs w:val="false"/>
                <w:color w:val="000000"/>
                <w:sz w:val="18"/>
                <w:szCs w:val="18"/>
              </w:rPr>
              <w:t xml:space="preserve">JTBD / pre-brief intake</w:t>
            </w:r>
          </w:p>
        </w:tc>
        <w:tc>
          <w:tcPr>
            <w:tcW w:type="dxa" w:w="1100"/>
            <w:tcMar>
              <w:top w:type="dxa" w:w="80"/>
              <w:left w:type="dxa" w:w="100"/>
              <w:bottom w:type="dxa" w:w="80"/>
              <w:right w:type="dxa" w:w="100"/>
            </w:tcMar>
          </w:tcPr>
          <w:p>
            <w:r>
              <w:rPr>
                <w:b w:val="false"/>
                <w:bCs w:val="false"/>
                <w:color w:val="000000"/>
                <w:sz w:val="18"/>
                <w:szCs w:val="18"/>
              </w:rPr>
              <w:t xml:space="preserve">42/mo</w:t>
            </w:r>
          </w:p>
        </w:tc>
        <w:tc>
          <w:tcPr>
            <w:tcW w:type="dxa" w:w="1100"/>
            <w:tcMar>
              <w:top w:type="dxa" w:w="80"/>
              <w:left w:type="dxa" w:w="100"/>
              <w:bottom w:type="dxa" w:w="80"/>
              <w:right w:type="dxa" w:w="100"/>
            </w:tcMar>
          </w:tcPr>
          <w:p>
            <w:r>
              <w:rPr>
                <w:b w:val="false"/>
                <w:bCs w:val="false"/>
                <w:color w:val="000000"/>
                <w:sz w:val="18"/>
                <w:szCs w:val="18"/>
              </w:rPr>
              <w:t xml:space="preserve">7d</w:t>
            </w:r>
          </w:p>
        </w:tc>
        <w:tc>
          <w:tcPr>
            <w:tcW w:type="dxa" w:w="1000"/>
            <w:tcMar>
              <w:top w:type="dxa" w:w="80"/>
              <w:left w:type="dxa" w:w="100"/>
              <w:bottom w:type="dxa" w:w="80"/>
              <w:right w:type="dxa" w:w="100"/>
            </w:tcMar>
          </w:tcPr>
          <w:p>
            <w:r>
              <w:rPr>
                <w:b w:val="false"/>
                <w:bCs w:val="false"/>
                <w:color w:val="000000"/>
                <w:sz w:val="18"/>
                <w:szCs w:val="18"/>
              </w:rPr>
              <w:t xml:space="preserve">31%</w:t>
            </w:r>
          </w:p>
        </w:tc>
        <w:tc>
          <w:tcPr>
            <w:tcW w:type="dxa" w:w="900"/>
            <w:tcMar>
              <w:top w:type="dxa" w:w="80"/>
              <w:left w:type="dxa" w:w="100"/>
              <w:bottom w:type="dxa" w:w="80"/>
              <w:right w:type="dxa" w:w="100"/>
            </w:tcMar>
          </w:tcPr>
          <w:p>
            <w:r>
              <w:rPr>
                <w:b w:val="false"/>
                <w:bCs w:val="false"/>
                <w:color w:val="000000"/>
                <w:sz w:val="18"/>
                <w:szCs w:val="18"/>
              </w:rPr>
              <w:t xml:space="preserve">8</w:t>
            </w:r>
          </w:p>
        </w:tc>
        <w:tc>
          <w:tcPr>
            <w:tcW w:type="dxa" w:w="900"/>
            <w:tcMar>
              <w:top w:type="dxa" w:w="80"/>
              <w:left w:type="dxa" w:w="100"/>
              <w:bottom w:type="dxa" w:w="80"/>
              <w:right w:type="dxa" w:w="100"/>
            </w:tcMar>
          </w:tcPr>
          <w:p>
            <w:r>
              <w:rPr>
                <w:b w:val="false"/>
                <w:bCs w:val="false"/>
                <w:color w:val="000000"/>
                <w:sz w:val="18"/>
                <w:szCs w:val="18"/>
              </w:rPr>
              <w:t xml:space="preserve">3</w:t>
            </w:r>
          </w:p>
        </w:tc>
        <w:tc>
          <w:tcPr>
            <w:tcW w:type="dxa" w:w="1400"/>
            <w:tcMar>
              <w:top w:type="dxa" w:w="80"/>
              <w:left w:type="dxa" w:w="100"/>
              <w:bottom w:type="dxa" w:w="80"/>
              <w:right w:type="dxa" w:w="100"/>
            </w:tcMar>
          </w:tcPr>
          <w:p>
            <w:r>
              <w:rPr>
                <w:b w:val="false"/>
                <w:bCs w:val="false"/>
                <w:color w:val="000000"/>
                <w:sz w:val="18"/>
                <w:szCs w:val="18"/>
              </w:rPr>
              <w:t xml:space="preserve">High</w:t>
            </w:r>
          </w:p>
        </w:tc>
        <w:tc>
          <w:tcPr>
            <w:tcW w:type="dxa" w:w="1200"/>
            <w:tcMar>
              <w:top w:type="dxa" w:w="80"/>
              <w:left w:type="dxa" w:w="100"/>
              <w:bottom w:type="dxa" w:w="80"/>
              <w:right w:type="dxa" w:w="100"/>
            </w:tcMar>
          </w:tcPr>
          <w:p>
            <w:r>
              <w:rPr>
                <w:b w:val="false"/>
                <w:bCs w:val="false"/>
                <w:color w:val="000000"/>
                <w:sz w:val="18"/>
                <w:szCs w:val="18"/>
              </w:rPr>
              <w:t xml:space="preserve">Wave 1</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WF04</w:t>
            </w:r>
          </w:p>
        </w:tc>
        <w:tc>
          <w:tcPr>
            <w:tcW w:type="dxa" w:w="5400"/>
            <w:shd w:fill="F5F5F0" w:val="clear"/>
            <w:tcMar>
              <w:top w:type="dxa" w:w="80"/>
              <w:left w:type="dxa" w:w="100"/>
              <w:bottom w:type="dxa" w:w="80"/>
              <w:right w:type="dxa" w:w="100"/>
            </w:tcMar>
          </w:tcPr>
          <w:p>
            <w:r>
              <w:rPr>
                <w:b w:val="false"/>
                <w:bCs w:val="false"/>
                <w:color w:val="000000"/>
                <w:sz w:val="18"/>
                <w:szCs w:val="18"/>
              </w:rPr>
              <w:t xml:space="preserve">Creative briefing</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36/mo</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9d</w:t>
            </w:r>
          </w:p>
        </w:tc>
        <w:tc>
          <w:tcPr>
            <w:tcW w:type="dxa" w:w="1000"/>
            <w:shd w:fill="F5F5F0" w:val="clear"/>
            <w:tcMar>
              <w:top w:type="dxa" w:w="80"/>
              <w:left w:type="dxa" w:w="100"/>
              <w:bottom w:type="dxa" w:w="80"/>
              <w:right w:type="dxa" w:w="100"/>
            </w:tcMar>
          </w:tcPr>
          <w:p>
            <w:r>
              <w:rPr>
                <w:b w:val="false"/>
                <w:bCs w:val="false"/>
                <w:color w:val="000000"/>
                <w:sz w:val="18"/>
                <w:szCs w:val="18"/>
              </w:rPr>
              <w:t xml:space="preserve">28%</w:t>
            </w:r>
          </w:p>
        </w:tc>
        <w:tc>
          <w:tcPr>
            <w:tcW w:type="dxa" w:w="900"/>
            <w:shd w:fill="F5F5F0" w:val="clear"/>
            <w:tcMar>
              <w:top w:type="dxa" w:w="80"/>
              <w:left w:type="dxa" w:w="100"/>
              <w:bottom w:type="dxa" w:w="80"/>
              <w:right w:type="dxa" w:w="100"/>
            </w:tcMar>
          </w:tcPr>
          <w:p>
            <w:r>
              <w:rPr>
                <w:b w:val="false"/>
                <w:bCs w:val="false"/>
                <w:color w:val="000000"/>
                <w:sz w:val="18"/>
                <w:szCs w:val="18"/>
              </w:rPr>
              <w:t xml:space="preserve">8</w:t>
            </w:r>
          </w:p>
        </w:tc>
        <w:tc>
          <w:tcPr>
            <w:tcW w:type="dxa" w:w="900"/>
            <w:shd w:fill="F5F5F0" w:val="clear"/>
            <w:tcMar>
              <w:top w:type="dxa" w:w="80"/>
              <w:left w:type="dxa" w:w="100"/>
              <w:bottom w:type="dxa" w:w="80"/>
              <w:right w:type="dxa" w:w="100"/>
            </w:tcMar>
          </w:tcPr>
          <w:p>
            <w:r>
              <w:rPr>
                <w:b w:val="false"/>
                <w:bCs w:val="false"/>
                <w:color w:val="000000"/>
                <w:sz w:val="18"/>
                <w:szCs w:val="18"/>
              </w:rPr>
              <w:t xml:space="preserve">3</w:t>
            </w:r>
          </w:p>
        </w:tc>
        <w:tc>
          <w:tcPr>
            <w:tcW w:type="dxa" w:w="14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200"/>
            <w:shd w:fill="F5F5F0" w:val="clear"/>
            <w:tcMar>
              <w:top w:type="dxa" w:w="80"/>
              <w:left w:type="dxa" w:w="100"/>
              <w:bottom w:type="dxa" w:w="80"/>
              <w:right w:type="dxa" w:w="100"/>
            </w:tcMar>
          </w:tcPr>
          <w:p>
            <w:r>
              <w:rPr>
                <w:b w:val="false"/>
                <w:bCs w:val="false"/>
                <w:color w:val="000000"/>
                <w:sz w:val="18"/>
                <w:szCs w:val="18"/>
              </w:rPr>
              <w:t xml:space="preserve">Wave 1</w:t>
            </w:r>
          </w:p>
        </w:tc>
      </w:tr>
      <w:tr>
        <w:tc>
          <w:tcPr>
            <w:tcW w:type="dxa" w:w="900"/>
            <w:tcMar>
              <w:top w:type="dxa" w:w="80"/>
              <w:left w:type="dxa" w:w="100"/>
              <w:bottom w:type="dxa" w:w="80"/>
              <w:right w:type="dxa" w:w="100"/>
            </w:tcMar>
          </w:tcPr>
          <w:p>
            <w:r>
              <w:rPr>
                <w:b w:val="false"/>
                <w:bCs w:val="false"/>
                <w:color w:val="000000"/>
                <w:sz w:val="18"/>
                <w:szCs w:val="18"/>
              </w:rPr>
              <w:t xml:space="preserve">WF05</w:t>
            </w:r>
          </w:p>
        </w:tc>
        <w:tc>
          <w:tcPr>
            <w:tcW w:type="dxa" w:w="5400"/>
            <w:tcMar>
              <w:top w:type="dxa" w:w="80"/>
              <w:left w:type="dxa" w:w="100"/>
              <w:bottom w:type="dxa" w:w="80"/>
              <w:right w:type="dxa" w:w="100"/>
            </w:tcMar>
          </w:tcPr>
          <w:p>
            <w:r>
              <w:rPr>
                <w:b w:val="false"/>
                <w:bCs w:val="false"/>
                <w:color w:val="000000"/>
                <w:sz w:val="18"/>
                <w:szCs w:val="18"/>
              </w:rPr>
              <w:t xml:space="preserve">Creative concepting / approval</w:t>
            </w:r>
          </w:p>
        </w:tc>
        <w:tc>
          <w:tcPr>
            <w:tcW w:type="dxa" w:w="1100"/>
            <w:tcMar>
              <w:top w:type="dxa" w:w="80"/>
              <w:left w:type="dxa" w:w="100"/>
              <w:bottom w:type="dxa" w:w="80"/>
              <w:right w:type="dxa" w:w="100"/>
            </w:tcMar>
          </w:tcPr>
          <w:p>
            <w:r>
              <w:rPr>
                <w:b w:val="false"/>
                <w:bCs w:val="false"/>
                <w:color w:val="000000"/>
                <w:sz w:val="18"/>
                <w:szCs w:val="18"/>
              </w:rPr>
              <w:t xml:space="preserve">24/mo</w:t>
            </w:r>
          </w:p>
        </w:tc>
        <w:tc>
          <w:tcPr>
            <w:tcW w:type="dxa" w:w="1100"/>
            <w:tcMar>
              <w:top w:type="dxa" w:w="80"/>
              <w:left w:type="dxa" w:w="100"/>
              <w:bottom w:type="dxa" w:w="80"/>
              <w:right w:type="dxa" w:w="100"/>
            </w:tcMar>
          </w:tcPr>
          <w:p>
            <w:r>
              <w:rPr>
                <w:b w:val="false"/>
                <w:bCs w:val="false"/>
                <w:color w:val="000000"/>
                <w:sz w:val="18"/>
                <w:szCs w:val="18"/>
              </w:rPr>
              <w:t xml:space="preserve">18d</w:t>
            </w:r>
          </w:p>
        </w:tc>
        <w:tc>
          <w:tcPr>
            <w:tcW w:type="dxa" w:w="1000"/>
            <w:tcMar>
              <w:top w:type="dxa" w:w="80"/>
              <w:left w:type="dxa" w:w="100"/>
              <w:bottom w:type="dxa" w:w="80"/>
              <w:right w:type="dxa" w:w="100"/>
            </w:tcMar>
          </w:tcPr>
          <w:p>
            <w:r>
              <w:rPr>
                <w:b w:val="false"/>
                <w:bCs w:val="false"/>
                <w:color w:val="000000"/>
                <w:sz w:val="18"/>
                <w:szCs w:val="18"/>
              </w:rPr>
              <w:t xml:space="preserve">22%</w:t>
            </w:r>
          </w:p>
        </w:tc>
        <w:tc>
          <w:tcPr>
            <w:tcW w:type="dxa" w:w="900"/>
            <w:tcMar>
              <w:top w:type="dxa" w:w="80"/>
              <w:left w:type="dxa" w:w="100"/>
              <w:bottom w:type="dxa" w:w="80"/>
              <w:right w:type="dxa" w:w="100"/>
            </w:tcMar>
          </w:tcPr>
          <w:p>
            <w:r>
              <w:rPr>
                <w:b w:val="false"/>
                <w:bCs w:val="false"/>
                <w:color w:val="000000"/>
                <w:sz w:val="18"/>
                <w:szCs w:val="18"/>
              </w:rPr>
              <w:t xml:space="preserve">8</w:t>
            </w:r>
          </w:p>
        </w:tc>
        <w:tc>
          <w:tcPr>
            <w:tcW w:type="dxa" w:w="900"/>
            <w:tcMar>
              <w:top w:type="dxa" w:w="80"/>
              <w:left w:type="dxa" w:w="100"/>
              <w:bottom w:type="dxa" w:w="80"/>
              <w:right w:type="dxa" w:w="100"/>
            </w:tcMar>
          </w:tcPr>
          <w:p>
            <w:r>
              <w:rPr>
                <w:b w:val="false"/>
                <w:bCs w:val="false"/>
                <w:color w:val="000000"/>
                <w:sz w:val="18"/>
                <w:szCs w:val="18"/>
              </w:rPr>
              <w:t xml:space="preserve">6</w:t>
            </w:r>
          </w:p>
        </w:tc>
        <w:tc>
          <w:tcPr>
            <w:tcW w:type="dxa" w:w="1400"/>
            <w:tcMar>
              <w:top w:type="dxa" w:w="80"/>
              <w:left w:type="dxa" w:w="100"/>
              <w:bottom w:type="dxa" w:w="80"/>
              <w:right w:type="dxa" w:w="100"/>
            </w:tcMar>
          </w:tcPr>
          <w:p>
            <w:r>
              <w:rPr>
                <w:b w:val="false"/>
                <w:bCs w:val="false"/>
                <w:color w:val="000000"/>
                <w:sz w:val="18"/>
                <w:szCs w:val="18"/>
              </w:rPr>
              <w:t xml:space="preserve">Medium</w:t>
            </w:r>
          </w:p>
        </w:tc>
        <w:tc>
          <w:tcPr>
            <w:tcW w:type="dxa" w:w="1200"/>
            <w:tcMar>
              <w:top w:type="dxa" w:w="80"/>
              <w:left w:type="dxa" w:w="100"/>
              <w:bottom w:type="dxa" w:w="80"/>
              <w:right w:type="dxa" w:w="100"/>
            </w:tcMar>
          </w:tcPr>
          <w:p>
            <w:r>
              <w:rPr>
                <w:b w:val="false"/>
                <w:bCs w:val="false"/>
                <w:color w:val="000000"/>
                <w:sz w:val="18"/>
                <w:szCs w:val="18"/>
              </w:rPr>
              <w:t xml:space="preserve">Wave 3</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WF06</w:t>
            </w:r>
          </w:p>
        </w:tc>
        <w:tc>
          <w:tcPr>
            <w:tcW w:type="dxa" w:w="5400"/>
            <w:shd w:fill="F5F5F0" w:val="clear"/>
            <w:tcMar>
              <w:top w:type="dxa" w:w="80"/>
              <w:left w:type="dxa" w:w="100"/>
              <w:bottom w:type="dxa" w:w="80"/>
              <w:right w:type="dxa" w:w="100"/>
            </w:tcMar>
          </w:tcPr>
          <w:p>
            <w:r>
              <w:rPr>
                <w:b w:val="false"/>
                <w:bCs w:val="false"/>
                <w:color w:val="000000"/>
                <w:sz w:val="18"/>
                <w:szCs w:val="18"/>
              </w:rPr>
              <w:t xml:space="preserve">Comms framework / touchpoint</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22/mo</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12d</w:t>
            </w:r>
          </w:p>
        </w:tc>
        <w:tc>
          <w:tcPr>
            <w:tcW w:type="dxa" w:w="1000"/>
            <w:shd w:fill="F5F5F0" w:val="clear"/>
            <w:tcMar>
              <w:top w:type="dxa" w:w="80"/>
              <w:left w:type="dxa" w:w="100"/>
              <w:bottom w:type="dxa" w:w="80"/>
              <w:right w:type="dxa" w:w="100"/>
            </w:tcMar>
          </w:tcPr>
          <w:p>
            <w:r>
              <w:rPr>
                <w:b w:val="false"/>
                <w:bCs w:val="false"/>
                <w:color w:val="000000"/>
                <w:sz w:val="18"/>
                <w:szCs w:val="18"/>
              </w:rPr>
              <w:t xml:space="preserve">19%</w:t>
            </w:r>
          </w:p>
        </w:tc>
        <w:tc>
          <w:tcPr>
            <w:tcW w:type="dxa" w:w="900"/>
            <w:shd w:fill="F5F5F0" w:val="clear"/>
            <w:tcMar>
              <w:top w:type="dxa" w:w="80"/>
              <w:left w:type="dxa" w:w="100"/>
              <w:bottom w:type="dxa" w:w="80"/>
              <w:right w:type="dxa" w:w="100"/>
            </w:tcMar>
          </w:tcPr>
          <w:p>
            <w:r>
              <w:rPr>
                <w:b w:val="false"/>
                <w:bCs w:val="false"/>
                <w:color w:val="000000"/>
                <w:sz w:val="18"/>
                <w:szCs w:val="18"/>
              </w:rPr>
              <w:t xml:space="preserve">7</w:t>
            </w:r>
          </w:p>
        </w:tc>
        <w:tc>
          <w:tcPr>
            <w:tcW w:type="dxa" w:w="900"/>
            <w:shd w:fill="F5F5F0" w:val="clear"/>
            <w:tcMar>
              <w:top w:type="dxa" w:w="80"/>
              <w:left w:type="dxa" w:w="100"/>
              <w:bottom w:type="dxa" w:w="80"/>
              <w:right w:type="dxa" w:w="100"/>
            </w:tcMar>
          </w:tcPr>
          <w:p>
            <w:r>
              <w:rPr>
                <w:b w:val="false"/>
                <w:bCs w:val="false"/>
                <w:color w:val="000000"/>
                <w:sz w:val="18"/>
                <w:szCs w:val="18"/>
              </w:rPr>
              <w:t xml:space="preserve">4</w:t>
            </w:r>
          </w:p>
        </w:tc>
        <w:tc>
          <w:tcPr>
            <w:tcW w:type="dxa" w:w="14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200"/>
            <w:shd w:fill="F5F5F0" w:val="clear"/>
            <w:tcMar>
              <w:top w:type="dxa" w:w="80"/>
              <w:left w:type="dxa" w:w="100"/>
              <w:bottom w:type="dxa" w:w="80"/>
              <w:right w:type="dxa" w:w="100"/>
            </w:tcMar>
          </w:tcPr>
          <w:p>
            <w:r>
              <w:rPr>
                <w:b w:val="false"/>
                <w:bCs w:val="false"/>
                <w:color w:val="000000"/>
                <w:sz w:val="18"/>
                <w:szCs w:val="18"/>
              </w:rPr>
              <w:t xml:space="preserve">Wave 2</w:t>
            </w:r>
          </w:p>
        </w:tc>
      </w:tr>
      <w:tr>
        <w:tc>
          <w:tcPr>
            <w:tcW w:type="dxa" w:w="900"/>
            <w:tcMar>
              <w:top w:type="dxa" w:w="80"/>
              <w:left w:type="dxa" w:w="100"/>
              <w:bottom w:type="dxa" w:w="80"/>
              <w:right w:type="dxa" w:w="100"/>
            </w:tcMar>
          </w:tcPr>
          <w:p>
            <w:r>
              <w:rPr>
                <w:b w:val="false"/>
                <w:bCs w:val="false"/>
                <w:color w:val="000000"/>
                <w:sz w:val="18"/>
                <w:szCs w:val="18"/>
              </w:rPr>
              <w:t xml:space="preserve">WF07</w:t>
            </w:r>
          </w:p>
        </w:tc>
        <w:tc>
          <w:tcPr>
            <w:tcW w:type="dxa" w:w="5400"/>
            <w:tcMar>
              <w:top w:type="dxa" w:w="80"/>
              <w:left w:type="dxa" w:w="100"/>
              <w:bottom w:type="dxa" w:w="80"/>
              <w:right w:type="dxa" w:w="100"/>
            </w:tcMar>
          </w:tcPr>
          <w:p>
            <w:r>
              <w:rPr>
                <w:b w:val="false"/>
                <w:bCs w:val="false"/>
                <w:color w:val="000000"/>
                <w:sz w:val="18"/>
                <w:szCs w:val="18"/>
              </w:rPr>
              <w:t xml:space="preserve">Media plan definition</w:t>
            </w:r>
          </w:p>
        </w:tc>
        <w:tc>
          <w:tcPr>
            <w:tcW w:type="dxa" w:w="1100"/>
            <w:tcMar>
              <w:top w:type="dxa" w:w="80"/>
              <w:left w:type="dxa" w:w="100"/>
              <w:bottom w:type="dxa" w:w="80"/>
              <w:right w:type="dxa" w:w="100"/>
            </w:tcMar>
          </w:tcPr>
          <w:p>
            <w:r>
              <w:rPr>
                <w:b w:val="false"/>
                <w:bCs w:val="false"/>
                <w:color w:val="000000"/>
                <w:sz w:val="18"/>
                <w:szCs w:val="18"/>
              </w:rPr>
              <w:t xml:space="preserve">32/mo</w:t>
            </w:r>
          </w:p>
        </w:tc>
        <w:tc>
          <w:tcPr>
            <w:tcW w:type="dxa" w:w="1100"/>
            <w:tcMar>
              <w:top w:type="dxa" w:w="80"/>
              <w:left w:type="dxa" w:w="100"/>
              <w:bottom w:type="dxa" w:w="80"/>
              <w:right w:type="dxa" w:w="100"/>
            </w:tcMar>
          </w:tcPr>
          <w:p>
            <w:r>
              <w:rPr>
                <w:b w:val="false"/>
                <w:bCs w:val="false"/>
                <w:color w:val="000000"/>
                <w:sz w:val="18"/>
                <w:szCs w:val="18"/>
              </w:rPr>
              <w:t xml:space="preserve">11d</w:t>
            </w:r>
          </w:p>
        </w:tc>
        <w:tc>
          <w:tcPr>
            <w:tcW w:type="dxa" w:w="1000"/>
            <w:tcMar>
              <w:top w:type="dxa" w:w="80"/>
              <w:left w:type="dxa" w:w="100"/>
              <w:bottom w:type="dxa" w:w="80"/>
              <w:right w:type="dxa" w:w="100"/>
            </w:tcMar>
          </w:tcPr>
          <w:p>
            <w:r>
              <w:rPr>
                <w:b w:val="false"/>
                <w:bCs w:val="false"/>
                <w:color w:val="000000"/>
                <w:sz w:val="18"/>
                <w:szCs w:val="18"/>
              </w:rPr>
              <w:t xml:space="preserve">16%</w:t>
            </w:r>
          </w:p>
        </w:tc>
        <w:tc>
          <w:tcPr>
            <w:tcW w:type="dxa" w:w="900"/>
            <w:tcMar>
              <w:top w:type="dxa" w:w="80"/>
              <w:left w:type="dxa" w:w="100"/>
              <w:bottom w:type="dxa" w:w="80"/>
              <w:right w:type="dxa" w:w="100"/>
            </w:tcMar>
          </w:tcPr>
          <w:p>
            <w:r>
              <w:rPr>
                <w:b w:val="false"/>
                <w:bCs w:val="false"/>
                <w:color w:val="000000"/>
                <w:sz w:val="18"/>
                <w:szCs w:val="18"/>
              </w:rPr>
              <w:t xml:space="preserve">7</w:t>
            </w:r>
          </w:p>
        </w:tc>
        <w:tc>
          <w:tcPr>
            <w:tcW w:type="dxa" w:w="900"/>
            <w:tcMar>
              <w:top w:type="dxa" w:w="80"/>
              <w:left w:type="dxa" w:w="100"/>
              <w:bottom w:type="dxa" w:w="80"/>
              <w:right w:type="dxa" w:w="100"/>
            </w:tcMar>
          </w:tcPr>
          <w:p>
            <w:r>
              <w:rPr>
                <w:b w:val="false"/>
                <w:bCs w:val="false"/>
                <w:color w:val="000000"/>
                <w:sz w:val="18"/>
                <w:szCs w:val="18"/>
              </w:rPr>
              <w:t xml:space="preserve">4</w:t>
            </w:r>
          </w:p>
        </w:tc>
        <w:tc>
          <w:tcPr>
            <w:tcW w:type="dxa" w:w="1400"/>
            <w:tcMar>
              <w:top w:type="dxa" w:w="80"/>
              <w:left w:type="dxa" w:w="100"/>
              <w:bottom w:type="dxa" w:w="80"/>
              <w:right w:type="dxa" w:w="100"/>
            </w:tcMar>
          </w:tcPr>
          <w:p>
            <w:r>
              <w:rPr>
                <w:b w:val="false"/>
                <w:bCs w:val="false"/>
                <w:color w:val="000000"/>
                <w:sz w:val="18"/>
                <w:szCs w:val="18"/>
              </w:rPr>
              <w:t xml:space="preserve">High</w:t>
            </w:r>
          </w:p>
        </w:tc>
        <w:tc>
          <w:tcPr>
            <w:tcW w:type="dxa" w:w="1200"/>
            <w:tcMar>
              <w:top w:type="dxa" w:w="80"/>
              <w:left w:type="dxa" w:w="100"/>
              <w:bottom w:type="dxa" w:w="80"/>
              <w:right w:type="dxa" w:w="100"/>
            </w:tcMar>
          </w:tcPr>
          <w:p>
            <w:r>
              <w:rPr>
                <w:b w:val="false"/>
                <w:bCs w:val="false"/>
                <w:color w:val="000000"/>
                <w:sz w:val="18"/>
                <w:szCs w:val="18"/>
              </w:rPr>
              <w:t xml:space="preserve">Wave 2</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WF08</w:t>
            </w:r>
          </w:p>
        </w:tc>
        <w:tc>
          <w:tcPr>
            <w:tcW w:type="dxa" w:w="5400"/>
            <w:shd w:fill="F5F5F0" w:val="clear"/>
            <w:tcMar>
              <w:top w:type="dxa" w:w="80"/>
              <w:left w:type="dxa" w:w="100"/>
              <w:bottom w:type="dxa" w:w="80"/>
              <w:right w:type="dxa" w:w="100"/>
            </w:tcMar>
          </w:tcPr>
          <w:p>
            <w:r>
              <w:rPr>
                <w:b w:val="false"/>
                <w:bCs w:val="false"/>
                <w:color w:val="000000"/>
                <w:sz w:val="18"/>
                <w:szCs w:val="18"/>
              </w:rPr>
              <w:t xml:space="preserve">Content dev, transcreation, deploy</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96/mo</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21d</w:t>
            </w:r>
          </w:p>
        </w:tc>
        <w:tc>
          <w:tcPr>
            <w:tcW w:type="dxa" w:w="1000"/>
            <w:shd w:fill="F5F5F0" w:val="clear"/>
            <w:tcMar>
              <w:top w:type="dxa" w:w="80"/>
              <w:left w:type="dxa" w:w="100"/>
              <w:bottom w:type="dxa" w:w="80"/>
              <w:right w:type="dxa" w:w="100"/>
            </w:tcMar>
          </w:tcPr>
          <w:p>
            <w:r>
              <w:rPr>
                <w:b w:val="false"/>
                <w:bCs w:val="false"/>
                <w:color w:val="000000"/>
                <w:sz w:val="18"/>
                <w:szCs w:val="18"/>
              </w:rPr>
              <w:t xml:space="preserve">34%</w:t>
            </w:r>
          </w:p>
        </w:tc>
        <w:tc>
          <w:tcPr>
            <w:tcW w:type="dxa" w:w="900"/>
            <w:shd w:fill="F5F5F0" w:val="clear"/>
            <w:tcMar>
              <w:top w:type="dxa" w:w="80"/>
              <w:left w:type="dxa" w:w="100"/>
              <w:bottom w:type="dxa" w:w="80"/>
              <w:right w:type="dxa" w:w="100"/>
            </w:tcMar>
          </w:tcPr>
          <w:p>
            <w:r>
              <w:rPr>
                <w:b w:val="false"/>
                <w:bCs w:val="false"/>
                <w:color w:val="000000"/>
                <w:sz w:val="18"/>
                <w:szCs w:val="18"/>
              </w:rPr>
              <w:t xml:space="preserve">10</w:t>
            </w:r>
          </w:p>
        </w:tc>
        <w:tc>
          <w:tcPr>
            <w:tcW w:type="dxa" w:w="900"/>
            <w:shd w:fill="F5F5F0" w:val="clear"/>
            <w:tcMar>
              <w:top w:type="dxa" w:w="80"/>
              <w:left w:type="dxa" w:w="100"/>
              <w:bottom w:type="dxa" w:w="80"/>
              <w:right w:type="dxa" w:w="100"/>
            </w:tcMar>
          </w:tcPr>
          <w:p>
            <w:r>
              <w:rPr>
                <w:b w:val="false"/>
                <w:bCs w:val="false"/>
                <w:color w:val="000000"/>
                <w:sz w:val="18"/>
                <w:szCs w:val="18"/>
              </w:rPr>
              <w:t xml:space="preserve">5</w:t>
            </w:r>
          </w:p>
        </w:tc>
        <w:tc>
          <w:tcPr>
            <w:tcW w:type="dxa" w:w="14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1200"/>
            <w:shd w:fill="F5F5F0" w:val="clear"/>
            <w:tcMar>
              <w:top w:type="dxa" w:w="80"/>
              <w:left w:type="dxa" w:w="100"/>
              <w:bottom w:type="dxa" w:w="80"/>
              <w:right w:type="dxa" w:w="100"/>
            </w:tcMar>
          </w:tcPr>
          <w:p>
            <w:r>
              <w:rPr>
                <w:b w:val="false"/>
                <w:bCs w:val="false"/>
                <w:color w:val="000000"/>
                <w:sz w:val="18"/>
                <w:szCs w:val="18"/>
              </w:rPr>
              <w:t xml:space="preserve">Wave 1</w:t>
            </w:r>
          </w:p>
        </w:tc>
      </w:tr>
      <w:tr>
        <w:tc>
          <w:tcPr>
            <w:tcW w:type="dxa" w:w="900"/>
            <w:tcMar>
              <w:top w:type="dxa" w:w="80"/>
              <w:left w:type="dxa" w:w="100"/>
              <w:bottom w:type="dxa" w:w="80"/>
              <w:right w:type="dxa" w:w="100"/>
            </w:tcMar>
          </w:tcPr>
          <w:p>
            <w:r>
              <w:rPr>
                <w:b w:val="false"/>
                <w:bCs w:val="false"/>
                <w:color w:val="000000"/>
                <w:sz w:val="18"/>
                <w:szCs w:val="18"/>
              </w:rPr>
              <w:t xml:space="preserve">WF09</w:t>
            </w:r>
          </w:p>
        </w:tc>
        <w:tc>
          <w:tcPr>
            <w:tcW w:type="dxa" w:w="5400"/>
            <w:tcMar>
              <w:top w:type="dxa" w:w="80"/>
              <w:left w:type="dxa" w:w="100"/>
              <w:bottom w:type="dxa" w:w="80"/>
              <w:right w:type="dxa" w:w="100"/>
            </w:tcMar>
          </w:tcPr>
          <w:p>
            <w:r>
              <w:rPr>
                <w:b w:val="false"/>
                <w:bCs w:val="false"/>
                <w:color w:val="000000"/>
                <w:sz w:val="18"/>
                <w:szCs w:val="18"/>
              </w:rPr>
              <w:t xml:space="preserve">Measurement &amp; optimisation reporting</w:t>
            </w:r>
          </w:p>
        </w:tc>
        <w:tc>
          <w:tcPr>
            <w:tcW w:type="dxa" w:w="1100"/>
            <w:tcMar>
              <w:top w:type="dxa" w:w="80"/>
              <w:left w:type="dxa" w:w="100"/>
              <w:bottom w:type="dxa" w:w="80"/>
              <w:right w:type="dxa" w:w="100"/>
            </w:tcMar>
          </w:tcPr>
          <w:p>
            <w:r>
              <w:rPr>
                <w:b w:val="false"/>
                <w:bCs w:val="false"/>
                <w:color w:val="000000"/>
                <w:sz w:val="18"/>
                <w:szCs w:val="18"/>
              </w:rPr>
              <w:t xml:space="preserve">28/mo</w:t>
            </w:r>
          </w:p>
        </w:tc>
        <w:tc>
          <w:tcPr>
            <w:tcW w:type="dxa" w:w="1100"/>
            <w:tcMar>
              <w:top w:type="dxa" w:w="80"/>
              <w:left w:type="dxa" w:w="100"/>
              <w:bottom w:type="dxa" w:w="80"/>
              <w:right w:type="dxa" w:w="100"/>
            </w:tcMar>
          </w:tcPr>
          <w:p>
            <w:r>
              <w:rPr>
                <w:b w:val="false"/>
                <w:bCs w:val="false"/>
                <w:color w:val="000000"/>
                <w:sz w:val="18"/>
                <w:szCs w:val="18"/>
              </w:rPr>
              <w:t xml:space="preserve">6d</w:t>
            </w:r>
          </w:p>
        </w:tc>
        <w:tc>
          <w:tcPr>
            <w:tcW w:type="dxa" w:w="1000"/>
            <w:tcMar>
              <w:top w:type="dxa" w:w="80"/>
              <w:left w:type="dxa" w:w="100"/>
              <w:bottom w:type="dxa" w:w="80"/>
              <w:right w:type="dxa" w:w="100"/>
            </w:tcMar>
          </w:tcPr>
          <w:p>
            <w:r>
              <w:rPr>
                <w:b w:val="false"/>
                <w:bCs w:val="false"/>
                <w:color w:val="000000"/>
                <w:sz w:val="18"/>
                <w:szCs w:val="18"/>
              </w:rPr>
              <w:t xml:space="preserve">12%</w:t>
            </w:r>
          </w:p>
        </w:tc>
        <w:tc>
          <w:tcPr>
            <w:tcW w:type="dxa" w:w="900"/>
            <w:tcMar>
              <w:top w:type="dxa" w:w="80"/>
              <w:left w:type="dxa" w:w="100"/>
              <w:bottom w:type="dxa" w:w="80"/>
              <w:right w:type="dxa" w:w="100"/>
            </w:tcMar>
          </w:tcPr>
          <w:p>
            <w:r>
              <w:rPr>
                <w:b w:val="false"/>
                <w:bCs w:val="false"/>
                <w:color w:val="000000"/>
                <w:sz w:val="18"/>
                <w:szCs w:val="18"/>
              </w:rPr>
              <w:t xml:space="preserve">8</w:t>
            </w:r>
          </w:p>
        </w:tc>
        <w:tc>
          <w:tcPr>
            <w:tcW w:type="dxa" w:w="900"/>
            <w:tcMar>
              <w:top w:type="dxa" w:w="80"/>
              <w:left w:type="dxa" w:w="100"/>
              <w:bottom w:type="dxa" w:w="80"/>
              <w:right w:type="dxa" w:w="100"/>
            </w:tcMar>
          </w:tcPr>
          <w:p>
            <w:r>
              <w:rPr>
                <w:b w:val="false"/>
                <w:bCs w:val="false"/>
                <w:color w:val="000000"/>
                <w:sz w:val="18"/>
                <w:szCs w:val="18"/>
              </w:rPr>
              <w:t xml:space="preserve">4</w:t>
            </w:r>
          </w:p>
        </w:tc>
        <w:tc>
          <w:tcPr>
            <w:tcW w:type="dxa" w:w="1400"/>
            <w:tcMar>
              <w:top w:type="dxa" w:w="80"/>
              <w:left w:type="dxa" w:w="100"/>
              <w:bottom w:type="dxa" w:w="80"/>
              <w:right w:type="dxa" w:w="100"/>
            </w:tcMar>
          </w:tcPr>
          <w:p>
            <w:r>
              <w:rPr>
                <w:b w:val="false"/>
                <w:bCs w:val="false"/>
                <w:color w:val="000000"/>
                <w:sz w:val="18"/>
                <w:szCs w:val="18"/>
              </w:rPr>
              <w:t xml:space="preserve">High</w:t>
            </w:r>
          </w:p>
        </w:tc>
        <w:tc>
          <w:tcPr>
            <w:tcW w:type="dxa" w:w="1200"/>
            <w:tcMar>
              <w:top w:type="dxa" w:w="80"/>
              <w:left w:type="dxa" w:w="100"/>
              <w:bottom w:type="dxa" w:w="80"/>
              <w:right w:type="dxa" w:w="100"/>
            </w:tcMar>
          </w:tcPr>
          <w:p>
            <w:r>
              <w:rPr>
                <w:b w:val="false"/>
                <w:bCs w:val="false"/>
                <w:color w:val="000000"/>
                <w:sz w:val="18"/>
                <w:szCs w:val="18"/>
              </w:rPr>
              <w:t xml:space="preserve">Wave 2</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WF10</w:t>
            </w:r>
          </w:p>
        </w:tc>
        <w:tc>
          <w:tcPr>
            <w:tcW w:type="dxa" w:w="5400"/>
            <w:shd w:fill="F5F5F0" w:val="clear"/>
            <w:tcMar>
              <w:top w:type="dxa" w:w="80"/>
              <w:left w:type="dxa" w:w="100"/>
              <w:bottom w:type="dxa" w:w="80"/>
              <w:right w:type="dxa" w:w="100"/>
            </w:tcMar>
          </w:tcPr>
          <w:p>
            <w:r>
              <w:rPr>
                <w:b w:val="false"/>
                <w:bCs w:val="false"/>
                <w:color w:val="000000"/>
                <w:sz w:val="18"/>
                <w:szCs w:val="18"/>
              </w:rPr>
              <w:t xml:space="preserve">Workflow orchestration</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118/mo</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5d</w:t>
            </w:r>
          </w:p>
        </w:tc>
        <w:tc>
          <w:tcPr>
            <w:tcW w:type="dxa" w:w="1000"/>
            <w:shd w:fill="F5F5F0" w:val="clear"/>
            <w:tcMar>
              <w:top w:type="dxa" w:w="80"/>
              <w:left w:type="dxa" w:w="100"/>
              <w:bottom w:type="dxa" w:w="80"/>
              <w:right w:type="dxa" w:w="100"/>
            </w:tcMar>
          </w:tcPr>
          <w:p>
            <w:r>
              <w:rPr>
                <w:b w:val="false"/>
                <w:bCs w:val="false"/>
                <w:color w:val="000000"/>
                <w:sz w:val="18"/>
                <w:szCs w:val="18"/>
              </w:rPr>
              <w:t xml:space="preserve">24%</w:t>
            </w:r>
          </w:p>
        </w:tc>
        <w:tc>
          <w:tcPr>
            <w:tcW w:type="dxa" w:w="900"/>
            <w:shd w:fill="F5F5F0" w:val="clear"/>
            <w:tcMar>
              <w:top w:type="dxa" w:w="80"/>
              <w:left w:type="dxa" w:w="100"/>
              <w:bottom w:type="dxa" w:w="80"/>
              <w:right w:type="dxa" w:w="100"/>
            </w:tcMar>
          </w:tcPr>
          <w:p>
            <w:r>
              <w:rPr>
                <w:b w:val="false"/>
                <w:bCs w:val="false"/>
                <w:color w:val="000000"/>
                <w:sz w:val="18"/>
                <w:szCs w:val="18"/>
              </w:rPr>
              <w:t xml:space="preserve">9</w:t>
            </w:r>
          </w:p>
        </w:tc>
        <w:tc>
          <w:tcPr>
            <w:tcW w:type="dxa" w:w="900"/>
            <w:shd w:fill="F5F5F0" w:val="clear"/>
            <w:tcMar>
              <w:top w:type="dxa" w:w="80"/>
              <w:left w:type="dxa" w:w="100"/>
              <w:bottom w:type="dxa" w:w="80"/>
              <w:right w:type="dxa" w:w="100"/>
            </w:tcMar>
          </w:tcPr>
          <w:p>
            <w:r>
              <w:rPr>
                <w:b w:val="false"/>
                <w:bCs w:val="false"/>
                <w:color w:val="000000"/>
                <w:sz w:val="18"/>
                <w:szCs w:val="18"/>
              </w:rPr>
              <w:t xml:space="preserve">6</w:t>
            </w:r>
          </w:p>
        </w:tc>
        <w:tc>
          <w:tcPr>
            <w:tcW w:type="dxa" w:w="14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200"/>
            <w:shd w:fill="F5F5F0" w:val="clear"/>
            <w:tcMar>
              <w:top w:type="dxa" w:w="80"/>
              <w:left w:type="dxa" w:w="100"/>
              <w:bottom w:type="dxa" w:w="80"/>
              <w:right w:type="dxa" w:w="100"/>
            </w:tcMar>
          </w:tcPr>
          <w:p>
            <w:r>
              <w:rPr>
                <w:b w:val="false"/>
                <w:bCs w:val="false"/>
                <w:color w:val="000000"/>
                <w:sz w:val="18"/>
                <w:szCs w:val="18"/>
              </w:rPr>
              <w:t xml:space="preserve">Wave 2</w:t>
            </w:r>
          </w:p>
        </w:tc>
      </w:tr>
      <w:tr>
        <w:tc>
          <w:tcPr>
            <w:tcW w:type="dxa" w:w="900"/>
            <w:tcMar>
              <w:top w:type="dxa" w:w="80"/>
              <w:left w:type="dxa" w:w="100"/>
              <w:bottom w:type="dxa" w:w="80"/>
              <w:right w:type="dxa" w:w="100"/>
            </w:tcMar>
          </w:tcPr>
          <w:p>
            <w:r>
              <w:rPr>
                <w:b w:val="false"/>
                <w:bCs w:val="false"/>
                <w:color w:val="000000"/>
                <w:sz w:val="18"/>
                <w:szCs w:val="18"/>
              </w:rPr>
              <w:t xml:space="preserve">WF11</w:t>
            </w:r>
          </w:p>
        </w:tc>
        <w:tc>
          <w:tcPr>
            <w:tcW w:type="dxa" w:w="5400"/>
            <w:tcMar>
              <w:top w:type="dxa" w:w="80"/>
              <w:left w:type="dxa" w:w="100"/>
              <w:bottom w:type="dxa" w:w="80"/>
              <w:right w:type="dxa" w:w="100"/>
            </w:tcMar>
          </w:tcPr>
          <w:p>
            <w:r>
              <w:rPr>
                <w:b w:val="false"/>
                <w:bCs w:val="false"/>
                <w:color w:val="000000"/>
                <w:sz w:val="18"/>
                <w:szCs w:val="18"/>
              </w:rPr>
              <w:t xml:space="preserve">Retailer.com content refresh</w:t>
            </w:r>
          </w:p>
        </w:tc>
        <w:tc>
          <w:tcPr>
            <w:tcW w:type="dxa" w:w="1100"/>
            <w:tcMar>
              <w:top w:type="dxa" w:w="80"/>
              <w:left w:type="dxa" w:w="100"/>
              <w:bottom w:type="dxa" w:w="80"/>
              <w:right w:type="dxa" w:w="100"/>
            </w:tcMar>
          </w:tcPr>
          <w:p>
            <w:r>
              <w:rPr>
                <w:b w:val="false"/>
                <w:bCs w:val="false"/>
                <w:color w:val="000000"/>
                <w:sz w:val="18"/>
                <w:szCs w:val="18"/>
              </w:rPr>
              <w:t xml:space="preserve">76/mo</w:t>
            </w:r>
          </w:p>
        </w:tc>
        <w:tc>
          <w:tcPr>
            <w:tcW w:type="dxa" w:w="1100"/>
            <w:tcMar>
              <w:top w:type="dxa" w:w="80"/>
              <w:left w:type="dxa" w:w="100"/>
              <w:bottom w:type="dxa" w:w="80"/>
              <w:right w:type="dxa" w:w="100"/>
            </w:tcMar>
          </w:tcPr>
          <w:p>
            <w:r>
              <w:rPr>
                <w:b w:val="false"/>
                <w:bCs w:val="false"/>
                <w:color w:val="000000"/>
                <w:sz w:val="18"/>
                <w:szCs w:val="18"/>
              </w:rPr>
              <w:t xml:space="preserve">10d</w:t>
            </w:r>
          </w:p>
        </w:tc>
        <w:tc>
          <w:tcPr>
            <w:tcW w:type="dxa" w:w="1000"/>
            <w:tcMar>
              <w:top w:type="dxa" w:w="80"/>
              <w:left w:type="dxa" w:w="100"/>
              <w:bottom w:type="dxa" w:w="80"/>
              <w:right w:type="dxa" w:w="100"/>
            </w:tcMar>
          </w:tcPr>
          <w:p>
            <w:r>
              <w:rPr>
                <w:b w:val="false"/>
                <w:bCs w:val="false"/>
                <w:color w:val="000000"/>
                <w:sz w:val="18"/>
                <w:szCs w:val="18"/>
              </w:rPr>
              <w:t xml:space="preserve">27%</w:t>
            </w:r>
          </w:p>
        </w:tc>
        <w:tc>
          <w:tcPr>
            <w:tcW w:type="dxa" w:w="900"/>
            <w:tcMar>
              <w:top w:type="dxa" w:w="80"/>
              <w:left w:type="dxa" w:w="100"/>
              <w:bottom w:type="dxa" w:w="80"/>
              <w:right w:type="dxa" w:w="100"/>
            </w:tcMar>
          </w:tcPr>
          <w:p>
            <w:r>
              <w:rPr>
                <w:b w:val="false"/>
                <w:bCs w:val="false"/>
                <w:color w:val="000000"/>
                <w:sz w:val="18"/>
                <w:szCs w:val="18"/>
              </w:rPr>
              <w:t xml:space="preserve">8</w:t>
            </w:r>
          </w:p>
        </w:tc>
        <w:tc>
          <w:tcPr>
            <w:tcW w:type="dxa" w:w="900"/>
            <w:tcMar>
              <w:top w:type="dxa" w:w="80"/>
              <w:left w:type="dxa" w:w="100"/>
              <w:bottom w:type="dxa" w:w="80"/>
              <w:right w:type="dxa" w:w="100"/>
            </w:tcMar>
          </w:tcPr>
          <w:p>
            <w:r>
              <w:rPr>
                <w:b w:val="false"/>
                <w:bCs w:val="false"/>
                <w:color w:val="000000"/>
                <w:sz w:val="18"/>
                <w:szCs w:val="18"/>
              </w:rPr>
              <w:t xml:space="preserve">4</w:t>
            </w:r>
          </w:p>
        </w:tc>
        <w:tc>
          <w:tcPr>
            <w:tcW w:type="dxa" w:w="1400"/>
            <w:tcMar>
              <w:top w:type="dxa" w:w="80"/>
              <w:left w:type="dxa" w:w="100"/>
              <w:bottom w:type="dxa" w:w="80"/>
              <w:right w:type="dxa" w:w="100"/>
            </w:tcMar>
          </w:tcPr>
          <w:p>
            <w:r>
              <w:rPr>
                <w:b w:val="false"/>
                <w:bCs w:val="false"/>
                <w:color w:val="000000"/>
                <w:sz w:val="18"/>
                <w:szCs w:val="18"/>
              </w:rPr>
              <w:t xml:space="preserve">High</w:t>
            </w:r>
          </w:p>
        </w:tc>
        <w:tc>
          <w:tcPr>
            <w:tcW w:type="dxa" w:w="1200"/>
            <w:tcMar>
              <w:top w:type="dxa" w:w="80"/>
              <w:left w:type="dxa" w:w="100"/>
              <w:bottom w:type="dxa" w:w="80"/>
              <w:right w:type="dxa" w:w="100"/>
            </w:tcMar>
          </w:tcPr>
          <w:p>
            <w:r>
              <w:rPr>
                <w:b w:val="false"/>
                <w:bCs w:val="false"/>
                <w:color w:val="000000"/>
                <w:sz w:val="18"/>
                <w:szCs w:val="18"/>
              </w:rPr>
              <w:t xml:space="preserve">Wave 1</w:t>
            </w:r>
          </w:p>
        </w:tc>
      </w:tr>
      <w:tr>
        <w:tc>
          <w:tcPr>
            <w:tcW w:type="dxa" w:w="900"/>
            <w:shd w:fill="F5F5F0" w:val="clear"/>
            <w:tcMar>
              <w:top w:type="dxa" w:w="80"/>
              <w:left w:type="dxa" w:w="100"/>
              <w:bottom w:type="dxa" w:w="80"/>
              <w:right w:type="dxa" w:w="100"/>
            </w:tcMar>
          </w:tcPr>
          <w:p>
            <w:r>
              <w:rPr>
                <w:b w:val="false"/>
                <w:bCs w:val="false"/>
                <w:color w:val="000000"/>
                <w:sz w:val="18"/>
                <w:szCs w:val="18"/>
              </w:rPr>
              <w:t xml:space="preserve">WF12</w:t>
            </w:r>
          </w:p>
        </w:tc>
        <w:tc>
          <w:tcPr>
            <w:tcW w:type="dxa" w:w="5400"/>
            <w:shd w:fill="F5F5F0" w:val="clear"/>
            <w:tcMar>
              <w:top w:type="dxa" w:w="80"/>
              <w:left w:type="dxa" w:w="100"/>
              <w:bottom w:type="dxa" w:w="80"/>
              <w:right w:type="dxa" w:w="100"/>
            </w:tcMar>
          </w:tcPr>
          <w:p>
            <w:r>
              <w:rPr>
                <w:b w:val="false"/>
                <w:bCs w:val="false"/>
                <w:color w:val="000000"/>
                <w:sz w:val="18"/>
                <w:szCs w:val="18"/>
              </w:rPr>
              <w:t xml:space="preserve">Influencer / creator activation</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54/mo</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14d</w:t>
            </w:r>
          </w:p>
        </w:tc>
        <w:tc>
          <w:tcPr>
            <w:tcW w:type="dxa" w:w="1000"/>
            <w:shd w:fill="F5F5F0" w:val="clear"/>
            <w:tcMar>
              <w:top w:type="dxa" w:w="80"/>
              <w:left w:type="dxa" w:w="100"/>
              <w:bottom w:type="dxa" w:w="80"/>
              <w:right w:type="dxa" w:w="100"/>
            </w:tcMar>
          </w:tcPr>
          <w:p>
            <w:r>
              <w:rPr>
                <w:b w:val="false"/>
                <w:bCs w:val="false"/>
                <w:color w:val="000000"/>
                <w:sz w:val="18"/>
                <w:szCs w:val="18"/>
              </w:rPr>
              <w:t xml:space="preserve">20%</w:t>
            </w:r>
          </w:p>
        </w:tc>
        <w:tc>
          <w:tcPr>
            <w:tcW w:type="dxa" w:w="900"/>
            <w:shd w:fill="F5F5F0" w:val="clear"/>
            <w:tcMar>
              <w:top w:type="dxa" w:w="80"/>
              <w:left w:type="dxa" w:w="100"/>
              <w:bottom w:type="dxa" w:w="80"/>
              <w:right w:type="dxa" w:w="100"/>
            </w:tcMar>
          </w:tcPr>
          <w:p>
            <w:r>
              <w:rPr>
                <w:b w:val="false"/>
                <w:bCs w:val="false"/>
                <w:color w:val="000000"/>
                <w:sz w:val="18"/>
                <w:szCs w:val="18"/>
              </w:rPr>
              <w:t xml:space="preserve">7</w:t>
            </w:r>
          </w:p>
        </w:tc>
        <w:tc>
          <w:tcPr>
            <w:tcW w:type="dxa" w:w="900"/>
            <w:shd w:fill="F5F5F0" w:val="clear"/>
            <w:tcMar>
              <w:top w:type="dxa" w:w="80"/>
              <w:left w:type="dxa" w:w="100"/>
              <w:bottom w:type="dxa" w:w="80"/>
              <w:right w:type="dxa" w:w="100"/>
            </w:tcMar>
          </w:tcPr>
          <w:p>
            <w:r>
              <w:rPr>
                <w:b w:val="false"/>
                <w:bCs w:val="false"/>
                <w:color w:val="000000"/>
                <w:sz w:val="18"/>
                <w:szCs w:val="18"/>
              </w:rPr>
              <w:t xml:space="preserve">5</w:t>
            </w:r>
          </w:p>
        </w:tc>
        <w:tc>
          <w:tcPr>
            <w:tcW w:type="dxa" w:w="14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1200"/>
            <w:shd w:fill="F5F5F0" w:val="clear"/>
            <w:tcMar>
              <w:top w:type="dxa" w:w="80"/>
              <w:left w:type="dxa" w:w="100"/>
              <w:bottom w:type="dxa" w:w="80"/>
              <w:right w:type="dxa" w:w="100"/>
            </w:tcMar>
          </w:tcPr>
          <w:p>
            <w:r>
              <w:rPr>
                <w:b w:val="false"/>
                <w:bCs w:val="false"/>
                <w:color w:val="000000"/>
                <w:sz w:val="18"/>
                <w:szCs w:val="18"/>
              </w:rPr>
              <w:t xml:space="preserve">Wave 3</w:t>
            </w:r>
          </w:p>
        </w:tc>
      </w:tr>
    </w:tbl>
    <w:p>
      <w:r>
        <w:br w:type="page"/>
      </w:r>
    </w:p>
    <w:p>
      <w:pPr>
        <w:pStyle w:val="Heading1"/>
        <w:spacing w:after="160"/>
      </w:pPr>
      <w:r>
        <w:t xml:space="preserve">Appendix B: Full Technology Inventory</w:t>
      </w:r>
    </w:p>
    <w:p>
      <w:pPr>
        <w:spacing w:after="160"/>
      </w:pPr>
      <w:r>
        <w:rPr>
          <w:b w:val="false"/>
          <w:bCs w:val="false"/>
          <w:i w:val="false"/>
          <w:iCs w:val="false"/>
          <w:sz w:val="21"/>
          <w:szCs w:val="21"/>
        </w:rPr>
        <w:t xml:space="preserve">Complete tool data for all 18 tools, referenced from Section 5. Landscape orientation, 7 columns exceeds the 6-column main-body threshold.</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1500"/>
        <w:gridCol w:w="1100"/>
        <w:gridCol w:w="2200"/>
        <w:gridCol w:w="4000"/>
      </w:tblGrid>
      <w:tr>
        <w:trPr>
          <w:tblHeader/>
        </w:trPr>
        <w:tc>
          <w:tcPr>
            <w:tcW w:type="dxa" w:w="700"/>
            <w:shd w:fill="1F2937" w:val="clear"/>
            <w:tcMar>
              <w:top w:type="dxa" w:w="80"/>
              <w:left w:type="dxa" w:w="100"/>
              <w:bottom w:type="dxa" w:w="80"/>
              <w:right w:type="dxa" w:w="100"/>
            </w:tcMar>
          </w:tcPr>
          <w:p>
            <w:r>
              <w:rPr>
                <w:b/>
                <w:bCs/>
                <w:color w:val="FFFFFF"/>
                <w:sz w:val="18"/>
                <w:szCs w:val="18"/>
              </w:rPr>
              <w:t xml:space="preserve">ID</w:t>
            </w:r>
          </w:p>
        </w:tc>
        <w:tc>
          <w:tcPr>
            <w:tcW w:type="dxa" w:w="2200"/>
            <w:shd w:fill="1F2937" w:val="clear"/>
            <w:tcMar>
              <w:top w:type="dxa" w:w="80"/>
              <w:left w:type="dxa" w:w="100"/>
              <w:bottom w:type="dxa" w:w="80"/>
              <w:right w:type="dxa" w:w="100"/>
            </w:tcMar>
          </w:tcPr>
          <w:p>
            <w:r>
              <w:rPr>
                <w:b/>
                <w:bCs/>
                <w:color w:val="FFFFFF"/>
                <w:sz w:val="18"/>
                <w:szCs w:val="18"/>
              </w:rPr>
              <w:t xml:space="preserve">Tool</w:t>
            </w:r>
          </w:p>
        </w:tc>
        <w:tc>
          <w:tcPr>
            <w:tcW w:type="dxa" w:w="2200"/>
            <w:shd w:fill="1F2937" w:val="clear"/>
            <w:tcMar>
              <w:top w:type="dxa" w:w="80"/>
              <w:left w:type="dxa" w:w="100"/>
              <w:bottom w:type="dxa" w:w="80"/>
              <w:right w:type="dxa" w:w="100"/>
            </w:tcMar>
          </w:tcPr>
          <w:p>
            <w:r>
              <w:rPr>
                <w:b/>
                <w:bCs/>
                <w:color w:val="FFFFFF"/>
                <w:sz w:val="18"/>
                <w:szCs w:val="18"/>
              </w:rPr>
              <w:t xml:space="preserve">Category</w:t>
            </w:r>
          </w:p>
        </w:tc>
        <w:tc>
          <w:tcPr>
            <w:tcW w:type="dxa" w:w="1500"/>
            <w:shd w:fill="1F2937" w:val="clear"/>
            <w:tcMar>
              <w:top w:type="dxa" w:w="80"/>
              <w:left w:type="dxa" w:w="100"/>
              <w:bottom w:type="dxa" w:w="80"/>
              <w:right w:type="dxa" w:w="100"/>
            </w:tcMar>
          </w:tcPr>
          <w:p>
            <w:r>
              <w:rPr>
                <w:b/>
                <w:bCs/>
                <w:color w:val="FFFFFF"/>
                <w:sz w:val="18"/>
                <w:szCs w:val="18"/>
              </w:rPr>
              <w:t xml:space="preserve">Monthly Cost (GBP)</w:t>
            </w:r>
          </w:p>
        </w:tc>
        <w:tc>
          <w:tcPr>
            <w:tcW w:type="dxa" w:w="1100"/>
            <w:shd w:fill="1F2937" w:val="clear"/>
            <w:tcMar>
              <w:top w:type="dxa" w:w="80"/>
              <w:left w:type="dxa" w:w="100"/>
              <w:bottom w:type="dxa" w:w="80"/>
              <w:right w:type="dxa" w:w="100"/>
            </w:tcMar>
          </w:tcPr>
          <w:p>
            <w:r>
              <w:rPr>
                <w:b/>
                <w:bCs/>
                <w:color w:val="FFFFFF"/>
                <w:sz w:val="18"/>
                <w:szCs w:val="18"/>
              </w:rPr>
              <w:t xml:space="preserve">Usage</w:t>
            </w:r>
          </w:p>
        </w:tc>
        <w:tc>
          <w:tcPr>
            <w:tcW w:type="dxa" w:w="2200"/>
            <w:shd w:fill="1F2937" w:val="clear"/>
            <w:tcMar>
              <w:top w:type="dxa" w:w="80"/>
              <w:left w:type="dxa" w:w="100"/>
              <w:bottom w:type="dxa" w:w="80"/>
              <w:right w:type="dxa" w:w="100"/>
            </w:tcMar>
          </w:tcPr>
          <w:p>
            <w:r>
              <w:rPr>
                <w:b/>
                <w:bCs/>
                <w:color w:val="FFFFFF"/>
                <w:sz w:val="18"/>
                <w:szCs w:val="18"/>
              </w:rPr>
              <w:t xml:space="preserve">Status</w:t>
            </w:r>
          </w:p>
        </w:tc>
        <w:tc>
          <w:tcPr>
            <w:tcW w:type="dxa" w:w="4000"/>
            <w:shd w:fill="1F2937" w:val="clear"/>
            <w:tcMar>
              <w:top w:type="dxa" w:w="80"/>
              <w:left w:type="dxa" w:w="100"/>
              <w:bottom w:type="dxa" w:w="80"/>
              <w:right w:type="dxa" w:w="100"/>
            </w:tcMar>
          </w:tcPr>
          <w:p>
            <w:r>
              <w:rPr>
                <w:b/>
                <w:bCs/>
                <w:color w:val="FFFFFF"/>
                <w:sz w:val="18"/>
                <w:szCs w:val="18"/>
              </w:rPr>
              <w:t xml:space="preserve">Recommendation</w:t>
            </w:r>
          </w:p>
        </w:tc>
      </w:tr>
      <w:tr>
        <w:tc>
          <w:tcPr>
            <w:tcW w:type="dxa" w:w="700"/>
            <w:tcMar>
              <w:top w:type="dxa" w:w="80"/>
              <w:left w:type="dxa" w:w="100"/>
              <w:bottom w:type="dxa" w:w="80"/>
              <w:right w:type="dxa" w:w="100"/>
            </w:tcMar>
          </w:tcPr>
          <w:p>
            <w:r>
              <w:rPr>
                <w:b w:val="false"/>
                <w:bCs w:val="false"/>
                <w:color w:val="000000"/>
                <w:sz w:val="18"/>
                <w:szCs w:val="18"/>
              </w:rPr>
              <w:t xml:space="preserve">T01</w:t>
            </w:r>
          </w:p>
        </w:tc>
        <w:tc>
          <w:tcPr>
            <w:tcW w:type="dxa" w:w="2200"/>
            <w:tcMar>
              <w:top w:type="dxa" w:w="80"/>
              <w:left w:type="dxa" w:w="100"/>
              <w:bottom w:type="dxa" w:w="80"/>
              <w:right w:type="dxa" w:w="100"/>
            </w:tcMar>
          </w:tcPr>
          <w:p>
            <w:r>
              <w:rPr>
                <w:b w:val="false"/>
                <w:bCs w:val="false"/>
                <w:color w:val="000000"/>
                <w:sz w:val="18"/>
                <w:szCs w:val="18"/>
              </w:rPr>
              <w:t xml:space="preserve">Nexa Control Room</w:t>
            </w:r>
          </w:p>
        </w:tc>
        <w:tc>
          <w:tcPr>
            <w:tcW w:type="dxa" w:w="2200"/>
            <w:tcMar>
              <w:top w:type="dxa" w:w="80"/>
              <w:left w:type="dxa" w:w="100"/>
              <w:bottom w:type="dxa" w:w="80"/>
              <w:right w:type="dxa" w:w="100"/>
            </w:tcMar>
          </w:tcPr>
          <w:p>
            <w:r>
              <w:rPr>
                <w:b w:val="false"/>
                <w:bCs w:val="false"/>
                <w:color w:val="000000"/>
                <w:sz w:val="18"/>
                <w:szCs w:val="18"/>
              </w:rPr>
              <w:t xml:space="preserve">Production / Control Room</w:t>
            </w:r>
          </w:p>
        </w:tc>
        <w:tc>
          <w:tcPr>
            <w:tcW w:type="dxa" w:w="1500"/>
            <w:tcMar>
              <w:top w:type="dxa" w:w="80"/>
              <w:left w:type="dxa" w:w="100"/>
              <w:bottom w:type="dxa" w:w="80"/>
              <w:right w:type="dxa" w:w="100"/>
            </w:tcMar>
          </w:tcPr>
          <w:p>
            <w:r>
              <w:rPr>
                <w:b w:val="false"/>
                <w:bCs w:val="false"/>
                <w:color w:val="000000"/>
                <w:sz w:val="18"/>
                <w:szCs w:val="18"/>
              </w:rPr>
              <w:t xml:space="preserve">12,500</w:t>
            </w:r>
          </w:p>
        </w:tc>
        <w:tc>
          <w:tcPr>
            <w:tcW w:type="dxa" w:w="1100"/>
            <w:tcMar>
              <w:top w:type="dxa" w:w="80"/>
              <w:left w:type="dxa" w:w="100"/>
              <w:bottom w:type="dxa" w:w="80"/>
              <w:right w:type="dxa" w:w="100"/>
            </w:tcMar>
          </w:tcPr>
          <w:p>
            <w:r>
              <w:rPr>
                <w:b w:val="false"/>
                <w:bCs w:val="false"/>
                <w:color w:val="000000"/>
                <w:sz w:val="18"/>
                <w:szCs w:val="18"/>
              </w:rPr>
              <w:t xml:space="preserve">Medium</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4000"/>
            <w:tcMar>
              <w:top w:type="dxa" w:w="80"/>
              <w:left w:type="dxa" w:w="100"/>
              <w:bottom w:type="dxa" w:w="80"/>
              <w:right w:type="dxa" w:w="100"/>
            </w:tcMar>
          </w:tcPr>
          <w:p>
            <w:r>
              <w:rPr>
                <w:b w:val="false"/>
                <w:bCs w:val="false"/>
                <w:color w:val="000000"/>
                <w:sz w:val="18"/>
                <w:szCs w:val="18"/>
              </w:rPr>
              <w:t xml:space="preserve">Keep and extend</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T02</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FlowGrid Orchestration</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Workflow Orchestration</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18,600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Validated</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Keep</w:t>
            </w:r>
          </w:p>
        </w:tc>
      </w:tr>
      <w:tr>
        <w:tc>
          <w:tcPr>
            <w:tcW w:type="dxa" w:w="700"/>
            <w:tcMar>
              <w:top w:type="dxa" w:w="80"/>
              <w:left w:type="dxa" w:w="100"/>
              <w:bottom w:type="dxa" w:w="80"/>
              <w:right w:type="dxa" w:w="100"/>
            </w:tcMar>
          </w:tcPr>
          <w:p>
            <w:r>
              <w:rPr>
                <w:b w:val="false"/>
                <w:bCs w:val="false"/>
                <w:color w:val="000000"/>
                <w:sz w:val="18"/>
                <w:szCs w:val="18"/>
              </w:rPr>
              <w:t xml:space="preserve">T03</w:t>
            </w:r>
          </w:p>
        </w:tc>
        <w:tc>
          <w:tcPr>
            <w:tcW w:type="dxa" w:w="2200"/>
            <w:tcMar>
              <w:top w:type="dxa" w:w="80"/>
              <w:left w:type="dxa" w:w="100"/>
              <w:bottom w:type="dxa" w:w="80"/>
              <w:right w:type="dxa" w:w="100"/>
            </w:tcMar>
          </w:tcPr>
          <w:p>
            <w:r>
              <w:rPr>
                <w:b w:val="false"/>
                <w:bCs w:val="false"/>
                <w:color w:val="000000"/>
                <w:sz w:val="18"/>
                <w:szCs w:val="18"/>
              </w:rPr>
              <w:t xml:space="preserve">Enterprise AI Hub</w:t>
            </w:r>
          </w:p>
        </w:tc>
        <w:tc>
          <w:tcPr>
            <w:tcW w:type="dxa" w:w="2200"/>
            <w:tcMar>
              <w:top w:type="dxa" w:w="80"/>
              <w:left w:type="dxa" w:w="100"/>
              <w:bottom w:type="dxa" w:w="80"/>
              <w:right w:type="dxa" w:w="100"/>
            </w:tcMar>
          </w:tcPr>
          <w:p>
            <w:r>
              <w:rPr>
                <w:b w:val="false"/>
                <w:bCs w:val="false"/>
                <w:color w:val="000000"/>
                <w:sz w:val="18"/>
                <w:szCs w:val="18"/>
              </w:rPr>
              <w:t xml:space="preserve">Enterprise AI Platform</w:t>
            </w:r>
          </w:p>
        </w:tc>
        <w:tc>
          <w:tcPr>
            <w:tcW w:type="dxa" w:w="1500"/>
            <w:tcMar>
              <w:top w:type="dxa" w:w="80"/>
              <w:left w:type="dxa" w:w="100"/>
              <w:bottom w:type="dxa" w:w="80"/>
              <w:right w:type="dxa" w:w="100"/>
            </w:tcMar>
          </w:tcPr>
          <w:p>
            <w:r>
              <w:rPr>
                <w:b w:val="false"/>
                <w:bCs w:val="false"/>
                <w:color w:val="000000"/>
                <w:sz w:val="18"/>
                <w:szCs w:val="18"/>
              </w:rPr>
              <w:t xml:space="preserve">22,000</w:t>
            </w:r>
          </w:p>
        </w:tc>
        <w:tc>
          <w:tcPr>
            <w:tcW w:type="dxa" w:w="1100"/>
            <w:tcMar>
              <w:top w:type="dxa" w:w="80"/>
              <w:left w:type="dxa" w:w="100"/>
              <w:bottom w:type="dxa" w:w="80"/>
              <w:right w:type="dxa" w:w="100"/>
            </w:tcMar>
          </w:tcPr>
          <w:p>
            <w:r>
              <w:rPr>
                <w:b w:val="false"/>
                <w:bCs w:val="false"/>
                <w:color w:val="000000"/>
                <w:sz w:val="18"/>
                <w:szCs w:val="18"/>
              </w:rPr>
              <w:t xml:space="preserve">Medium</w:t>
            </w:r>
          </w:p>
        </w:tc>
        <w:tc>
          <w:tcPr>
            <w:tcW w:type="dxa" w:w="2200"/>
            <w:tcMar>
              <w:top w:type="dxa" w:w="80"/>
              <w:left w:type="dxa" w:w="100"/>
              <w:bottom w:type="dxa" w:w="80"/>
              <w:right w:type="dxa" w:w="100"/>
            </w:tcMar>
          </w:tcPr>
          <w:p>
            <w:r>
              <w:rPr>
                <w:b w:val="false"/>
                <w:bCs w:val="false"/>
                <w:color w:val="000000"/>
                <w:sz w:val="18"/>
                <w:szCs w:val="18"/>
              </w:rPr>
              <w:t xml:space="preserve">Partially validated</w:t>
            </w:r>
          </w:p>
        </w:tc>
        <w:tc>
          <w:tcPr>
            <w:tcW w:type="dxa" w:w="4000"/>
            <w:tcMar>
              <w:top w:type="dxa" w:w="80"/>
              <w:left w:type="dxa" w:w="100"/>
              <w:bottom w:type="dxa" w:w="80"/>
              <w:right w:type="dxa" w:w="100"/>
            </w:tcMar>
          </w:tcPr>
          <w:p>
            <w:r>
              <w:rPr>
                <w:b w:val="false"/>
                <w:bCs w:val="false"/>
                <w:color w:val="000000"/>
                <w:sz w:val="18"/>
                <w:szCs w:val="18"/>
              </w:rPr>
              <w:t xml:space="preserve">Keep with governance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T04</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ClaimSafe Review</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Creative Compliance</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8,400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Low</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Needs validation</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Keep if integrated</w:t>
            </w:r>
          </w:p>
        </w:tc>
      </w:tr>
      <w:tr>
        <w:tc>
          <w:tcPr>
            <w:tcW w:type="dxa" w:w="700"/>
            <w:tcMar>
              <w:top w:type="dxa" w:w="80"/>
              <w:left w:type="dxa" w:w="100"/>
              <w:bottom w:type="dxa" w:w="80"/>
              <w:right w:type="dxa" w:w="100"/>
            </w:tcMar>
          </w:tcPr>
          <w:p>
            <w:r>
              <w:rPr>
                <w:b w:val="false"/>
                <w:bCs w:val="false"/>
                <w:color w:val="000000"/>
                <w:sz w:val="18"/>
                <w:szCs w:val="18"/>
              </w:rPr>
              <w:t xml:space="preserve">T05</w:t>
            </w:r>
          </w:p>
        </w:tc>
        <w:tc>
          <w:tcPr>
            <w:tcW w:type="dxa" w:w="2200"/>
            <w:tcMar>
              <w:top w:type="dxa" w:w="80"/>
              <w:left w:type="dxa" w:w="100"/>
              <w:bottom w:type="dxa" w:w="80"/>
              <w:right w:type="dxa" w:w="100"/>
            </w:tcMar>
          </w:tcPr>
          <w:p>
            <w:r>
              <w:rPr>
                <w:b w:val="false"/>
                <w:bCs w:val="false"/>
                <w:color w:val="000000"/>
                <w:sz w:val="18"/>
                <w:szCs w:val="18"/>
              </w:rPr>
              <w:t xml:space="preserve">AssetVault DAM</w:t>
            </w:r>
          </w:p>
        </w:tc>
        <w:tc>
          <w:tcPr>
            <w:tcW w:type="dxa" w:w="2200"/>
            <w:tcMar>
              <w:top w:type="dxa" w:w="80"/>
              <w:left w:type="dxa" w:w="100"/>
              <w:bottom w:type="dxa" w:w="80"/>
              <w:right w:type="dxa" w:w="100"/>
            </w:tcMar>
          </w:tcPr>
          <w:p>
            <w:r>
              <w:rPr>
                <w:b w:val="false"/>
                <w:bCs w:val="false"/>
                <w:color w:val="000000"/>
                <w:sz w:val="18"/>
                <w:szCs w:val="18"/>
              </w:rPr>
              <w:t xml:space="preserve">DAM</w:t>
            </w:r>
          </w:p>
        </w:tc>
        <w:tc>
          <w:tcPr>
            <w:tcW w:type="dxa" w:w="1500"/>
            <w:tcMar>
              <w:top w:type="dxa" w:w="80"/>
              <w:left w:type="dxa" w:w="100"/>
              <w:bottom w:type="dxa" w:w="80"/>
              <w:right w:type="dxa" w:w="100"/>
            </w:tcMar>
          </w:tcPr>
          <w:p>
            <w:r>
              <w:rPr>
                <w:b w:val="false"/>
                <w:bCs w:val="false"/>
                <w:color w:val="000000"/>
                <w:sz w:val="18"/>
                <w:szCs w:val="18"/>
              </w:rPr>
              <w:t xml:space="preserve">19,500</w:t>
            </w:r>
          </w:p>
        </w:tc>
        <w:tc>
          <w:tcPr>
            <w:tcW w:type="dxa" w:w="11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4000"/>
            <w:tcMar>
              <w:top w:type="dxa" w:w="80"/>
              <w:left w:type="dxa" w:w="100"/>
              <w:bottom w:type="dxa" w:w="80"/>
              <w:right w:type="dxa" w:w="100"/>
            </w:tcMar>
          </w:tcPr>
          <w:p>
            <w:r>
              <w:rPr>
                <w:b w:val="false"/>
                <w:bCs w:val="false"/>
                <w:color w:val="000000"/>
                <w:sz w:val="18"/>
                <w:szCs w:val="18"/>
              </w:rPr>
              <w:t xml:space="preserve">Keep and enforce metadata</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T06</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ProductSphere PIM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PIM</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14,300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Validated</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Keep</w:t>
            </w:r>
          </w:p>
        </w:tc>
      </w:tr>
      <w:tr>
        <w:tc>
          <w:tcPr>
            <w:tcW w:type="dxa" w:w="700"/>
            <w:tcMar>
              <w:top w:type="dxa" w:w="80"/>
              <w:left w:type="dxa" w:w="100"/>
              <w:bottom w:type="dxa" w:w="80"/>
              <w:right w:type="dxa" w:w="100"/>
            </w:tcMar>
          </w:tcPr>
          <w:p>
            <w:r>
              <w:rPr>
                <w:b w:val="false"/>
                <w:bCs w:val="false"/>
                <w:color w:val="000000"/>
                <w:sz w:val="18"/>
                <w:szCs w:val="18"/>
              </w:rPr>
              <w:t xml:space="preserve">T07</w:t>
            </w:r>
          </w:p>
        </w:tc>
        <w:tc>
          <w:tcPr>
            <w:tcW w:type="dxa" w:w="2200"/>
            <w:tcMar>
              <w:top w:type="dxa" w:w="80"/>
              <w:left w:type="dxa" w:w="100"/>
              <w:bottom w:type="dxa" w:w="80"/>
              <w:right w:type="dxa" w:w="100"/>
            </w:tcMar>
          </w:tcPr>
          <w:p>
            <w:r>
              <w:rPr>
                <w:b w:val="false"/>
                <w:bCs w:val="false"/>
                <w:color w:val="000000"/>
                <w:sz w:val="18"/>
                <w:szCs w:val="18"/>
              </w:rPr>
              <w:t xml:space="preserve">Creative Taxonomy v1</w:t>
            </w:r>
          </w:p>
        </w:tc>
        <w:tc>
          <w:tcPr>
            <w:tcW w:type="dxa" w:w="2200"/>
            <w:tcMar>
              <w:top w:type="dxa" w:w="80"/>
              <w:left w:type="dxa" w:w="100"/>
              <w:bottom w:type="dxa" w:w="80"/>
              <w:right w:type="dxa" w:w="100"/>
            </w:tcMar>
          </w:tcPr>
          <w:p>
            <w:r>
              <w:rPr>
                <w:b w:val="false"/>
                <w:bCs w:val="false"/>
                <w:color w:val="000000"/>
                <w:sz w:val="18"/>
                <w:szCs w:val="18"/>
              </w:rPr>
              <w:t xml:space="preserve">Taxonomy</w:t>
            </w:r>
          </w:p>
        </w:tc>
        <w:tc>
          <w:tcPr>
            <w:tcW w:type="dxa" w:w="1500"/>
            <w:tcMar>
              <w:top w:type="dxa" w:w="80"/>
              <w:left w:type="dxa" w:w="100"/>
              <w:bottom w:type="dxa" w:w="80"/>
              <w:right w:type="dxa" w:w="100"/>
            </w:tcMar>
          </w:tcPr>
          <w:p>
            <w:r>
              <w:rPr>
                <w:b w:val="false"/>
                <w:bCs w:val="false"/>
                <w:color w:val="000000"/>
                <w:sz w:val="18"/>
                <w:szCs w:val="18"/>
              </w:rPr>
              <w:t xml:space="preserve">0</w:t>
            </w:r>
          </w:p>
        </w:tc>
        <w:tc>
          <w:tcPr>
            <w:tcW w:type="dxa" w:w="1100"/>
            <w:tcMar>
              <w:top w:type="dxa" w:w="80"/>
              <w:left w:type="dxa" w:w="100"/>
              <w:bottom w:type="dxa" w:w="80"/>
              <w:right w:type="dxa" w:w="100"/>
            </w:tcMar>
          </w:tcPr>
          <w:p>
            <w:r>
              <w:rPr>
                <w:b w:val="false"/>
                <w:bCs w:val="false"/>
                <w:color w:val="000000"/>
                <w:sz w:val="18"/>
                <w:szCs w:val="18"/>
              </w:rPr>
              <w:t xml:space="preserve">Low</w:t>
            </w:r>
          </w:p>
        </w:tc>
        <w:tc>
          <w:tcPr>
            <w:tcW w:type="dxa" w:w="2200"/>
            <w:tcMar>
              <w:top w:type="dxa" w:w="80"/>
              <w:left w:type="dxa" w:w="100"/>
              <w:bottom w:type="dxa" w:w="80"/>
              <w:right w:type="dxa" w:w="100"/>
            </w:tcMar>
          </w:tcPr>
          <w:p>
            <w:r>
              <w:rPr>
                <w:b w:val="false"/>
                <w:bCs w:val="false"/>
                <w:color w:val="000000"/>
                <w:sz w:val="18"/>
                <w:szCs w:val="18"/>
              </w:rPr>
              <w:t xml:space="preserve">Needs validation</w:t>
            </w:r>
          </w:p>
        </w:tc>
        <w:tc>
          <w:tcPr>
            <w:tcW w:type="dxa" w:w="4000"/>
            <w:tcMar>
              <w:top w:type="dxa" w:w="80"/>
              <w:left w:type="dxa" w:w="100"/>
              <w:bottom w:type="dxa" w:w="80"/>
              <w:right w:type="dxa" w:w="100"/>
            </w:tcMar>
          </w:tcPr>
          <w:p>
            <w:r>
              <w:rPr>
                <w:b w:val="false"/>
                <w:bCs w:val="false"/>
                <w:color w:val="000000"/>
                <w:sz w:val="18"/>
                <w:szCs w:val="18"/>
              </w:rPr>
              <w:t xml:space="preserve">Refresh / govern</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T08</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Content Cost Calculator</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Financial / Efficiency</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Partially validated</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Rebuild as governed model</w:t>
            </w:r>
          </w:p>
        </w:tc>
      </w:tr>
      <w:tr>
        <w:tc>
          <w:tcPr>
            <w:tcW w:type="dxa" w:w="700"/>
            <w:tcMar>
              <w:top w:type="dxa" w:w="80"/>
              <w:left w:type="dxa" w:w="100"/>
              <w:bottom w:type="dxa" w:w="80"/>
              <w:right w:type="dxa" w:w="100"/>
            </w:tcMar>
          </w:tcPr>
          <w:p>
            <w:r>
              <w:rPr>
                <w:b w:val="false"/>
                <w:bCs w:val="false"/>
                <w:color w:val="000000"/>
                <w:sz w:val="18"/>
                <w:szCs w:val="18"/>
              </w:rPr>
              <w:t xml:space="preserve">T09</w:t>
            </w:r>
          </w:p>
        </w:tc>
        <w:tc>
          <w:tcPr>
            <w:tcW w:type="dxa" w:w="2200"/>
            <w:tcMar>
              <w:top w:type="dxa" w:w="80"/>
              <w:left w:type="dxa" w:w="100"/>
              <w:bottom w:type="dxa" w:w="80"/>
              <w:right w:type="dxa" w:w="100"/>
            </w:tcMar>
          </w:tcPr>
          <w:p>
            <w:r>
              <w:rPr>
                <w:b w:val="false"/>
                <w:bCs w:val="false"/>
                <w:color w:val="000000"/>
                <w:sz w:val="18"/>
                <w:szCs w:val="18"/>
              </w:rPr>
              <w:t xml:space="preserve">VidioGen A</w:t>
            </w:r>
          </w:p>
        </w:tc>
        <w:tc>
          <w:tcPr>
            <w:tcW w:type="dxa" w:w="2200"/>
            <w:tcMar>
              <w:top w:type="dxa" w:w="80"/>
              <w:left w:type="dxa" w:w="100"/>
              <w:bottom w:type="dxa" w:w="80"/>
              <w:right w:type="dxa" w:w="100"/>
            </w:tcMar>
          </w:tcPr>
          <w:p>
            <w:r>
              <w:rPr>
                <w:b w:val="false"/>
                <w:bCs w:val="false"/>
                <w:color w:val="000000"/>
                <w:sz w:val="18"/>
                <w:szCs w:val="18"/>
              </w:rPr>
              <w:t xml:space="preserve">AI Video Generation</w:t>
            </w:r>
          </w:p>
        </w:tc>
        <w:tc>
          <w:tcPr>
            <w:tcW w:type="dxa" w:w="1500"/>
            <w:tcMar>
              <w:top w:type="dxa" w:w="80"/>
              <w:left w:type="dxa" w:w="100"/>
              <w:bottom w:type="dxa" w:w="80"/>
              <w:right w:type="dxa" w:w="100"/>
            </w:tcMar>
          </w:tcPr>
          <w:p>
            <w:r>
              <w:rPr>
                <w:b w:val="false"/>
                <w:bCs w:val="false"/>
                <w:color w:val="000000"/>
                <w:sz w:val="18"/>
                <w:szCs w:val="18"/>
              </w:rPr>
              <w:t xml:space="preserve">6,400</w:t>
            </w:r>
          </w:p>
        </w:tc>
        <w:tc>
          <w:tcPr>
            <w:tcW w:type="dxa" w:w="1100"/>
            <w:tcMar>
              <w:top w:type="dxa" w:w="80"/>
              <w:left w:type="dxa" w:w="100"/>
              <w:bottom w:type="dxa" w:w="80"/>
              <w:right w:type="dxa" w:w="100"/>
            </w:tcMar>
          </w:tcPr>
          <w:p>
            <w:r>
              <w:rPr>
                <w:b w:val="false"/>
                <w:bCs w:val="false"/>
                <w:color w:val="000000"/>
                <w:sz w:val="18"/>
                <w:szCs w:val="18"/>
              </w:rPr>
              <w:t xml:space="preserve">Low</w:t>
            </w:r>
          </w:p>
        </w:tc>
        <w:tc>
          <w:tcPr>
            <w:tcW w:type="dxa" w:w="2200"/>
            <w:tcMar>
              <w:top w:type="dxa" w:w="80"/>
              <w:left w:type="dxa" w:w="100"/>
              <w:bottom w:type="dxa" w:w="80"/>
              <w:right w:type="dxa" w:w="100"/>
            </w:tcMar>
          </w:tcPr>
          <w:p>
            <w:r>
              <w:rPr>
                <w:b w:val="false"/>
                <w:bCs w:val="false"/>
                <w:color w:val="000000"/>
                <w:sz w:val="18"/>
                <w:szCs w:val="18"/>
              </w:rPr>
              <w:t xml:space="preserve">Needs validation</w:t>
            </w:r>
          </w:p>
        </w:tc>
        <w:tc>
          <w:tcPr>
            <w:tcW w:type="dxa" w:w="4000"/>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T10</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PersonaDub</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AI Avatar / Dubbing</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5,100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Low</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Needs validation</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tcMar>
              <w:top w:type="dxa" w:w="80"/>
              <w:left w:type="dxa" w:w="100"/>
              <w:bottom w:type="dxa" w:w="80"/>
              <w:right w:type="dxa" w:w="100"/>
            </w:tcMar>
          </w:tcPr>
          <w:p>
            <w:r>
              <w:rPr>
                <w:b w:val="false"/>
                <w:bCs w:val="false"/>
                <w:color w:val="000000"/>
                <w:sz w:val="18"/>
                <w:szCs w:val="18"/>
              </w:rPr>
              <w:t xml:space="preserve">T11</w:t>
            </w:r>
          </w:p>
        </w:tc>
        <w:tc>
          <w:tcPr>
            <w:tcW w:type="dxa" w:w="2200"/>
            <w:tcMar>
              <w:top w:type="dxa" w:w="80"/>
              <w:left w:type="dxa" w:w="100"/>
              <w:bottom w:type="dxa" w:w="80"/>
              <w:right w:type="dxa" w:w="100"/>
            </w:tcMar>
          </w:tcPr>
          <w:p>
            <w:r>
              <w:rPr>
                <w:b w:val="false"/>
                <w:bCs w:val="false"/>
                <w:color w:val="000000"/>
                <w:sz w:val="18"/>
                <w:szCs w:val="18"/>
              </w:rPr>
              <w:t xml:space="preserve">EditPro Studio</w:t>
            </w:r>
          </w:p>
        </w:tc>
        <w:tc>
          <w:tcPr>
            <w:tcW w:type="dxa" w:w="2200"/>
            <w:tcMar>
              <w:top w:type="dxa" w:w="80"/>
              <w:left w:type="dxa" w:w="100"/>
              <w:bottom w:type="dxa" w:w="80"/>
              <w:right w:type="dxa" w:w="100"/>
            </w:tcMar>
          </w:tcPr>
          <w:p>
            <w:r>
              <w:rPr>
                <w:b w:val="false"/>
                <w:bCs w:val="false"/>
                <w:color w:val="000000"/>
                <w:sz w:val="18"/>
                <w:szCs w:val="18"/>
              </w:rPr>
              <w:t xml:space="preserve">Video Editing</w:t>
            </w:r>
          </w:p>
        </w:tc>
        <w:tc>
          <w:tcPr>
            <w:tcW w:type="dxa" w:w="1500"/>
            <w:tcMar>
              <w:top w:type="dxa" w:w="80"/>
              <w:left w:type="dxa" w:w="100"/>
              <w:bottom w:type="dxa" w:w="80"/>
              <w:right w:type="dxa" w:w="100"/>
            </w:tcMar>
          </w:tcPr>
          <w:p>
            <w:r>
              <w:rPr>
                <w:b w:val="false"/>
                <w:bCs w:val="false"/>
                <w:color w:val="000000"/>
                <w:sz w:val="18"/>
                <w:szCs w:val="18"/>
              </w:rPr>
              <w:t xml:space="preserve">9,800</w:t>
            </w:r>
          </w:p>
        </w:tc>
        <w:tc>
          <w:tcPr>
            <w:tcW w:type="dxa" w:w="11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4000"/>
            <w:tcMar>
              <w:top w:type="dxa" w:w="80"/>
              <w:left w:type="dxa" w:w="100"/>
              <w:bottom w:type="dxa" w:w="80"/>
              <w:right w:type="dxa" w:w="100"/>
            </w:tcMar>
          </w:tcPr>
          <w:p>
            <w:r>
              <w:rPr>
                <w:b w:val="false"/>
                <w:bCs w:val="false"/>
                <w:color w:val="000000"/>
                <w:sz w:val="18"/>
                <w:szCs w:val="18"/>
              </w:rPr>
              <w:t xml:space="preserve">Keep</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T12</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VidioGen B</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AI Video Generation</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3,900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Low</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Needs validation</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tcMar>
              <w:top w:type="dxa" w:w="80"/>
              <w:left w:type="dxa" w:w="100"/>
              <w:bottom w:type="dxa" w:w="80"/>
              <w:right w:type="dxa" w:w="100"/>
            </w:tcMar>
          </w:tcPr>
          <w:p>
            <w:r>
              <w:rPr>
                <w:b w:val="false"/>
                <w:bCs w:val="false"/>
                <w:color w:val="000000"/>
                <w:sz w:val="18"/>
                <w:szCs w:val="18"/>
              </w:rPr>
              <w:t xml:space="preserve">T13</w:t>
            </w:r>
          </w:p>
        </w:tc>
        <w:tc>
          <w:tcPr>
            <w:tcW w:type="dxa" w:w="2200"/>
            <w:tcMar>
              <w:top w:type="dxa" w:w="80"/>
              <w:left w:type="dxa" w:w="100"/>
              <w:bottom w:type="dxa" w:w="80"/>
              <w:right w:type="dxa" w:w="100"/>
            </w:tcMar>
          </w:tcPr>
          <w:p>
            <w:r>
              <w:rPr>
                <w:b w:val="false"/>
                <w:bCs w:val="false"/>
                <w:color w:val="000000"/>
                <w:sz w:val="18"/>
                <w:szCs w:val="18"/>
              </w:rPr>
              <w:t xml:space="preserve">LocalVoice AI</w:t>
            </w:r>
          </w:p>
        </w:tc>
        <w:tc>
          <w:tcPr>
            <w:tcW w:type="dxa" w:w="2200"/>
            <w:tcMar>
              <w:top w:type="dxa" w:w="80"/>
              <w:left w:type="dxa" w:w="100"/>
              <w:bottom w:type="dxa" w:w="80"/>
              <w:right w:type="dxa" w:w="100"/>
            </w:tcMar>
          </w:tcPr>
          <w:p>
            <w:r>
              <w:rPr>
                <w:b w:val="false"/>
                <w:bCs w:val="false"/>
                <w:color w:val="000000"/>
                <w:sz w:val="18"/>
                <w:szCs w:val="18"/>
              </w:rPr>
              <w:t xml:space="preserve">AI Dubbing</w:t>
            </w:r>
          </w:p>
        </w:tc>
        <w:tc>
          <w:tcPr>
            <w:tcW w:type="dxa" w:w="1500"/>
            <w:tcMar>
              <w:top w:type="dxa" w:w="80"/>
              <w:left w:type="dxa" w:w="100"/>
              <w:bottom w:type="dxa" w:w="80"/>
              <w:right w:type="dxa" w:w="100"/>
            </w:tcMar>
          </w:tcPr>
          <w:p>
            <w:r>
              <w:rPr>
                <w:b w:val="false"/>
                <w:bCs w:val="false"/>
                <w:color w:val="000000"/>
                <w:sz w:val="18"/>
                <w:szCs w:val="18"/>
              </w:rPr>
              <w:t xml:space="preserve">4,400</w:t>
            </w:r>
          </w:p>
        </w:tc>
        <w:tc>
          <w:tcPr>
            <w:tcW w:type="dxa" w:w="1100"/>
            <w:tcMar>
              <w:top w:type="dxa" w:w="80"/>
              <w:left w:type="dxa" w:w="100"/>
              <w:bottom w:type="dxa" w:w="80"/>
              <w:right w:type="dxa" w:w="100"/>
            </w:tcMar>
          </w:tcPr>
          <w:p>
            <w:r>
              <w:rPr>
                <w:b w:val="false"/>
                <w:bCs w:val="false"/>
                <w:color w:val="000000"/>
                <w:sz w:val="18"/>
                <w:szCs w:val="18"/>
              </w:rPr>
              <w:t xml:space="preserve">Medium</w:t>
            </w:r>
          </w:p>
        </w:tc>
        <w:tc>
          <w:tcPr>
            <w:tcW w:type="dxa" w:w="2200"/>
            <w:tcMar>
              <w:top w:type="dxa" w:w="80"/>
              <w:left w:type="dxa" w:w="100"/>
              <w:bottom w:type="dxa" w:w="80"/>
              <w:right w:type="dxa" w:w="100"/>
            </w:tcMar>
          </w:tcPr>
          <w:p>
            <w:r>
              <w:rPr>
                <w:b w:val="false"/>
                <w:bCs w:val="false"/>
                <w:color w:val="000000"/>
                <w:sz w:val="18"/>
                <w:szCs w:val="18"/>
              </w:rPr>
              <w:t xml:space="preserve">Partially validated</w:t>
            </w:r>
          </w:p>
        </w:tc>
        <w:tc>
          <w:tcPr>
            <w:tcW w:type="dxa" w:w="4000"/>
            <w:tcMar>
              <w:top w:type="dxa" w:w="80"/>
              <w:left w:type="dxa" w:w="100"/>
              <w:bottom w:type="dxa" w:w="80"/>
              <w:right w:type="dxa" w:w="100"/>
            </w:tcMar>
          </w:tcPr>
          <w:p>
            <w:r>
              <w:rPr>
                <w:b w:val="false"/>
                <w:bCs w:val="false"/>
                <w:color w:val="000000"/>
                <w:sz w:val="18"/>
                <w:szCs w:val="18"/>
              </w:rPr>
              <w:t xml:space="preserve">Possible consolidate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T14</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ImageForge AI</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AI Image Tool</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7,200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Partially validated</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Keep with guardrails</w:t>
            </w:r>
          </w:p>
        </w:tc>
      </w:tr>
      <w:tr>
        <w:tc>
          <w:tcPr>
            <w:tcW w:type="dxa" w:w="700"/>
            <w:tcMar>
              <w:top w:type="dxa" w:w="80"/>
              <w:left w:type="dxa" w:w="100"/>
              <w:bottom w:type="dxa" w:w="80"/>
              <w:right w:type="dxa" w:w="100"/>
            </w:tcMar>
          </w:tcPr>
          <w:p>
            <w:r>
              <w:rPr>
                <w:b w:val="false"/>
                <w:bCs w:val="false"/>
                <w:color w:val="000000"/>
                <w:sz w:val="18"/>
                <w:szCs w:val="18"/>
              </w:rPr>
              <w:t xml:space="preserve">T15</w:t>
            </w:r>
          </w:p>
        </w:tc>
        <w:tc>
          <w:tcPr>
            <w:tcW w:type="dxa" w:w="2200"/>
            <w:tcMar>
              <w:top w:type="dxa" w:w="80"/>
              <w:left w:type="dxa" w:w="100"/>
              <w:bottom w:type="dxa" w:w="80"/>
              <w:right w:type="dxa" w:w="100"/>
            </w:tcMar>
          </w:tcPr>
          <w:p>
            <w:r>
              <w:rPr>
                <w:b w:val="false"/>
                <w:bCs w:val="false"/>
                <w:color w:val="000000"/>
                <w:sz w:val="18"/>
                <w:szCs w:val="18"/>
              </w:rPr>
              <w:t xml:space="preserve">Multi-LLM Access</w:t>
            </w:r>
          </w:p>
        </w:tc>
        <w:tc>
          <w:tcPr>
            <w:tcW w:type="dxa" w:w="2200"/>
            <w:tcMar>
              <w:top w:type="dxa" w:w="80"/>
              <w:left w:type="dxa" w:w="100"/>
              <w:bottom w:type="dxa" w:w="80"/>
              <w:right w:type="dxa" w:w="100"/>
            </w:tcMar>
          </w:tcPr>
          <w:p>
            <w:r>
              <w:rPr>
                <w:b w:val="false"/>
                <w:bCs w:val="false"/>
                <w:color w:val="000000"/>
                <w:sz w:val="18"/>
                <w:szCs w:val="18"/>
              </w:rPr>
              <w:t xml:space="preserve">Generative AI / LLM</w:t>
            </w:r>
          </w:p>
        </w:tc>
        <w:tc>
          <w:tcPr>
            <w:tcW w:type="dxa" w:w="1500"/>
            <w:tcMar>
              <w:top w:type="dxa" w:w="80"/>
              <w:left w:type="dxa" w:w="100"/>
              <w:bottom w:type="dxa" w:w="80"/>
              <w:right w:type="dxa" w:w="100"/>
            </w:tcMar>
          </w:tcPr>
          <w:p>
            <w:r>
              <w:rPr>
                <w:b w:val="false"/>
                <w:bCs w:val="false"/>
                <w:color w:val="000000"/>
                <w:sz w:val="18"/>
                <w:szCs w:val="18"/>
              </w:rPr>
              <w:t xml:space="preserve">11,800</w:t>
            </w:r>
          </w:p>
        </w:tc>
        <w:tc>
          <w:tcPr>
            <w:tcW w:type="dxa" w:w="1100"/>
            <w:tcMar>
              <w:top w:type="dxa" w:w="80"/>
              <w:left w:type="dxa" w:w="100"/>
              <w:bottom w:type="dxa" w:w="80"/>
              <w:right w:type="dxa" w:w="100"/>
            </w:tcMar>
          </w:tcPr>
          <w:p>
            <w:r>
              <w:rPr>
                <w:b w:val="false"/>
                <w:bCs w:val="false"/>
                <w:color w:val="000000"/>
                <w:sz w:val="18"/>
                <w:szCs w:val="18"/>
              </w:rPr>
              <w:t xml:space="preserve">Medium</w:t>
            </w:r>
          </w:p>
        </w:tc>
        <w:tc>
          <w:tcPr>
            <w:tcW w:type="dxa" w:w="2200"/>
            <w:tcMar>
              <w:top w:type="dxa" w:w="80"/>
              <w:left w:type="dxa" w:w="100"/>
              <w:bottom w:type="dxa" w:w="80"/>
              <w:right w:type="dxa" w:w="100"/>
            </w:tcMar>
          </w:tcPr>
          <w:p>
            <w:r>
              <w:rPr>
                <w:b w:val="false"/>
                <w:bCs w:val="false"/>
                <w:color w:val="000000"/>
                <w:sz w:val="18"/>
                <w:szCs w:val="18"/>
              </w:rPr>
              <w:t xml:space="preserve">Needs validation</w:t>
            </w:r>
          </w:p>
        </w:tc>
        <w:tc>
          <w:tcPr>
            <w:tcW w:type="dxa" w:w="4000"/>
            <w:tcMar>
              <w:top w:type="dxa" w:w="80"/>
              <w:left w:type="dxa" w:w="100"/>
              <w:bottom w:type="dxa" w:w="80"/>
              <w:right w:type="dxa" w:w="100"/>
            </w:tcMar>
          </w:tcPr>
          <w:p>
            <w:r>
              <w:rPr>
                <w:b w:val="false"/>
                <w:bCs w:val="false"/>
                <w:color w:val="000000"/>
                <w:sz w:val="18"/>
                <w:szCs w:val="18"/>
              </w:rPr>
              <w:t xml:space="preserve">Govern / rationalise</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T16</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WorkTrack PM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Project / Workflow Mgmt</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15,600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High</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Validated</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Keep or integrate with FlowGrid</w:t>
            </w:r>
          </w:p>
        </w:tc>
      </w:tr>
      <w:tr>
        <w:tc>
          <w:tcPr>
            <w:tcW w:type="dxa" w:w="700"/>
            <w:tcMar>
              <w:top w:type="dxa" w:w="80"/>
              <w:left w:type="dxa" w:w="100"/>
              <w:bottom w:type="dxa" w:w="80"/>
              <w:right w:type="dxa" w:w="100"/>
            </w:tcMar>
          </w:tcPr>
          <w:p>
            <w:r>
              <w:rPr>
                <w:b w:val="false"/>
                <w:bCs w:val="false"/>
                <w:color w:val="000000"/>
                <w:sz w:val="18"/>
                <w:szCs w:val="18"/>
              </w:rPr>
              <w:t xml:space="preserve">T17</w:t>
            </w:r>
          </w:p>
        </w:tc>
        <w:tc>
          <w:tcPr>
            <w:tcW w:type="dxa" w:w="2200"/>
            <w:tcMar>
              <w:top w:type="dxa" w:w="80"/>
              <w:left w:type="dxa" w:w="100"/>
              <w:bottom w:type="dxa" w:w="80"/>
              <w:right w:type="dxa" w:w="100"/>
            </w:tcMar>
          </w:tcPr>
          <w:p>
            <w:r>
              <w:rPr>
                <w:b w:val="false"/>
                <w:bCs w:val="false"/>
                <w:color w:val="000000"/>
                <w:sz w:val="18"/>
                <w:szCs w:val="18"/>
              </w:rPr>
              <w:t xml:space="preserve">RetailFeed Manager</w:t>
            </w:r>
          </w:p>
        </w:tc>
        <w:tc>
          <w:tcPr>
            <w:tcW w:type="dxa" w:w="2200"/>
            <w:tcMar>
              <w:top w:type="dxa" w:w="80"/>
              <w:left w:type="dxa" w:w="100"/>
              <w:bottom w:type="dxa" w:w="80"/>
              <w:right w:type="dxa" w:w="100"/>
            </w:tcMar>
          </w:tcPr>
          <w:p>
            <w:r>
              <w:rPr>
                <w:b w:val="false"/>
                <w:bCs w:val="false"/>
                <w:color w:val="000000"/>
                <w:sz w:val="18"/>
                <w:szCs w:val="18"/>
              </w:rPr>
              <w:t xml:space="preserve">Retail Content Syndication</w:t>
            </w:r>
          </w:p>
        </w:tc>
        <w:tc>
          <w:tcPr>
            <w:tcW w:type="dxa" w:w="1500"/>
            <w:tcMar>
              <w:top w:type="dxa" w:w="80"/>
              <w:left w:type="dxa" w:w="100"/>
              <w:bottom w:type="dxa" w:w="80"/>
              <w:right w:type="dxa" w:w="100"/>
            </w:tcMar>
          </w:tcPr>
          <w:p>
            <w:r>
              <w:rPr>
                <w:b w:val="false"/>
                <w:bCs w:val="false"/>
                <w:color w:val="000000"/>
                <w:sz w:val="18"/>
                <w:szCs w:val="18"/>
              </w:rPr>
              <w:t xml:space="preserve">13,200</w:t>
            </w:r>
          </w:p>
        </w:tc>
        <w:tc>
          <w:tcPr>
            <w:tcW w:type="dxa" w:w="11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Validated</w:t>
            </w:r>
          </w:p>
        </w:tc>
        <w:tc>
          <w:tcPr>
            <w:tcW w:type="dxa" w:w="4000"/>
            <w:tcMar>
              <w:top w:type="dxa" w:w="80"/>
              <w:left w:type="dxa" w:w="100"/>
              <w:bottom w:type="dxa" w:w="80"/>
              <w:right w:type="dxa" w:w="100"/>
            </w:tcMar>
          </w:tcPr>
          <w:p>
            <w:r>
              <w:rPr>
                <w:b w:val="false"/>
                <w:bCs w:val="false"/>
                <w:color w:val="000000"/>
                <w:sz w:val="18"/>
                <w:szCs w:val="18"/>
              </w:rPr>
              <w:t xml:space="preserve">Keep</w:t>
            </w:r>
          </w:p>
        </w:tc>
      </w:tr>
      <w:tr>
        <w:tc>
          <w:tcPr>
            <w:tcW w:type="dxa" w:w="700"/>
            <w:shd w:fill="F5F5F0" w:val="clear"/>
            <w:tcMar>
              <w:top w:type="dxa" w:w="80"/>
              <w:left w:type="dxa" w:w="100"/>
              <w:bottom w:type="dxa" w:w="80"/>
              <w:right w:type="dxa" w:w="100"/>
            </w:tcMar>
          </w:tcPr>
          <w:p>
            <w:r>
              <w:rPr>
                <w:b w:val="false"/>
                <w:bCs w:val="false"/>
                <w:color w:val="000000"/>
                <w:sz w:val="18"/>
                <w:szCs w:val="18"/>
              </w:rPr>
              <w:t xml:space="preserve">T18</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InsightBoard BI</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Reporting / Analytics</w:t>
            </w:r>
          </w:p>
        </w:tc>
        <w:tc>
          <w:tcPr>
            <w:tcW w:type="dxa" w:w="1500"/>
            <w:shd w:fill="F5F5F0" w:val="clear"/>
            <w:tcMar>
              <w:top w:type="dxa" w:w="80"/>
              <w:left w:type="dxa" w:w="100"/>
              <w:bottom w:type="dxa" w:w="80"/>
              <w:right w:type="dxa" w:w="100"/>
            </w:tcMar>
          </w:tcPr>
          <w:p>
            <w:r>
              <w:rPr>
                <w:b w:val="false"/>
                <w:bCs w:val="false"/>
                <w:color w:val="000000"/>
                <w:sz w:val="18"/>
                <w:szCs w:val="18"/>
              </w:rPr>
              <w:t xml:space="preserve">17,600</w:t>
            </w:r>
          </w:p>
        </w:tc>
        <w:tc>
          <w:tcPr>
            <w:tcW w:type="dxa" w:w="1100"/>
            <w:shd w:fill="F5F5F0" w:val="clear"/>
            <w:tcMar>
              <w:top w:type="dxa" w:w="80"/>
              <w:left w:type="dxa" w:w="100"/>
              <w:bottom w:type="dxa" w:w="80"/>
              <w:right w:type="dxa" w:w="100"/>
            </w:tcMar>
          </w:tcPr>
          <w:p>
            <w:r>
              <w:rPr>
                <w:b w:val="false"/>
                <w:bCs w:val="false"/>
                <w:color w:val="000000"/>
                <w:sz w:val="18"/>
                <w:szCs w:val="18"/>
              </w:rPr>
              <w:t xml:space="preserve">Medium</w:t>
            </w:r>
          </w:p>
        </w:tc>
        <w:tc>
          <w:tcPr>
            <w:tcW w:type="dxa" w:w="2200"/>
            <w:shd w:fill="F5F5F0" w:val="clear"/>
            <w:tcMar>
              <w:top w:type="dxa" w:w="80"/>
              <w:left w:type="dxa" w:w="100"/>
              <w:bottom w:type="dxa" w:w="80"/>
              <w:right w:type="dxa" w:w="100"/>
            </w:tcMar>
          </w:tcPr>
          <w:p>
            <w:r>
              <w:rPr>
                <w:b w:val="false"/>
                <w:bCs w:val="false"/>
                <w:color w:val="000000"/>
                <w:sz w:val="18"/>
                <w:szCs w:val="18"/>
              </w:rPr>
              <w:t xml:space="preserve">Partially validated</w:t>
            </w:r>
          </w:p>
        </w:tc>
        <w:tc>
          <w:tcPr>
            <w:tcW w:type="dxa" w:w="4000"/>
            <w:shd w:fill="F5F5F0" w:val="clear"/>
            <w:tcMar>
              <w:top w:type="dxa" w:w="80"/>
              <w:left w:type="dxa" w:w="100"/>
              <w:bottom w:type="dxa" w:w="80"/>
              <w:right w:type="dxa" w:w="100"/>
            </w:tcMar>
          </w:tcPr>
          <w:p>
            <w:r>
              <w:rPr>
                <w:b w:val="false"/>
                <w:bCs w:val="false"/>
                <w:color w:val="000000"/>
                <w:sz w:val="18"/>
                <w:szCs w:val="18"/>
              </w:rPr>
              <w:t xml:space="preserve">Keep and automate narrative</w:t>
            </w:r>
          </w:p>
        </w:tc>
      </w:tr>
    </w:tbl>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NexaGlow Beauty | AI Operating Model Report | Test Case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NexaGlow Beauty | AI Operating Model Report | Test Case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72c7cdce6ad562a5caf873a432295c379a202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2026-07-02T16:12:23.923Z</dcterms:created>
  <dcterms:modified xsi:type="dcterms:W3CDTF">2026-07-02T16:12:23.936Z</dcterms:modified>
</cp:coreProperties>
</file>

<file path=docProps/custom.xml><?xml version="1.0" encoding="utf-8"?>
<Properties xmlns="http://schemas.openxmlformats.org/officeDocument/2006/custom-properties" xmlns:vt="http://schemas.openxmlformats.org/officeDocument/2006/docPropsVTypes"/>
</file>