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i w:val="false"/>
          <w:iCs w:val="false"/>
          <w:sz w:val="24"/>
          <w:szCs w:val="24"/>
        </w:rPr>
        <w:t xml:space="preserve">Reflective Journal: Data Literacy and Visualization</w:t>
      </w:r>
    </w:p>
    <w:p>
      <w:pPr>
        <w:spacing w:line="480" w:lineRule="auto"/>
        <w:jc w:val="center"/>
      </w:pPr>
      <w:r>
        <w:rPr>
          <w:rFonts w:ascii="Times New Roman" w:cs="Times New Roman" w:eastAsia="Times New Roman" w:hAnsi="Times New Roman"/>
          <w:b w:val="false"/>
          <w:bCs w:val="false"/>
          <w:i w:val="false"/>
          <w:iCs w:val="false"/>
          <w:sz w:val="24"/>
          <w:szCs w:val="24"/>
        </w:rPr>
        <w:t xml:space="preserve">Spencer Previlon</w:t>
      </w:r>
    </w:p>
    <w:p>
      <w:pPr>
        <w:spacing w:line="480" w:lineRule="auto"/>
        <w:jc w:val="center"/>
      </w:pPr>
      <w:r>
        <w:rPr>
          <w:rFonts w:ascii="Times New Roman" w:cs="Times New Roman" w:eastAsia="Times New Roman" w:hAnsi="Times New Roman"/>
          <w:b w:val="false"/>
          <w:bCs w:val="false"/>
          <w:i w:val="false"/>
          <w:iCs w:val="false"/>
          <w:sz w:val="24"/>
          <w:szCs w:val="24"/>
        </w:rPr>
        <w:t xml:space="preserve">Southern New Hampshire University</w:t>
      </w:r>
    </w:p>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bCs/>
          <w:sz w:val="24"/>
          <w:szCs w:val="24"/>
        </w:rPr>
        <w:t xml:space="preserve">Most Challenging Aspect of the Coursework</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The most challenging part of this course was learning to see my own visualizations the way an unfamiliar reader would, rather than the way I already understood them. On the Module Seven activity, my instructor's feedback on my transit ridership charts made clear that several assumed knowledge the reader did not have: mode labels like CB and MB with no key, a bar chart where one neighborhood's data was visually lost next to a larger value, exponential notation on the axes, and a population figure that was simply wrong. None of these were conceptual mistakes; they were easy to miss when I already knew what the data meant. I overcame this by treating every chart as unfinished until checking it against a short list: are labels self-explanatory, does every value stay visible at scale, and have I verified the numbers. Applying that habit on Module Nine caught real problems, including duplicate chart rendering and an incorrect population figure, before submission rather than after a grade came back.</w:t>
      </w:r>
    </w:p>
    <w:p>
      <w:pPr>
        <w:spacing w:line="480" w:lineRule="auto"/>
      </w:pPr>
      <w:r>
        <w:rPr>
          <w:rFonts w:ascii="Times New Roman" w:cs="Times New Roman" w:eastAsia="Times New Roman" w:hAnsi="Times New Roman"/>
          <w:b/>
          <w:bCs/>
          <w:sz w:val="24"/>
          <w:szCs w:val="24"/>
        </w:rPr>
        <w:t xml:space="preserve">Applying Data Literacy in a Future Context</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I plan to carry the skill of matching a visualization to its audience directly into cybersecurity work as I move from a help desk role into that field. The same underlying information, such as an incident timeline, has to be presented differently depending on who is reading it. A security operations team needs technical detail: specific indicators, affected systems, and timestamps. Leadership needs the opposite: a small number of visuals communicating business risk without requiring familiarity with the tools. Learning to build two different visualizations from one dataset for two audiences, rather than assuming one chart serves everyone, is directly transferable to writing an incident report that both a technical team and an executive team can act on.</w:t>
      </w:r>
    </w:p>
    <w:p>
      <w:pPr>
        <w:spacing w:line="480" w:lineRule="auto"/>
      </w:pPr>
      <w:r>
        <w:rPr>
          <w:rFonts w:ascii="Times New Roman" w:cs="Times New Roman" w:eastAsia="Times New Roman" w:hAnsi="Times New Roman"/>
          <w:b/>
          <w:bCs/>
          <w:sz w:val="24"/>
          <w:szCs w:val="24"/>
        </w:rPr>
        <w:t xml:space="preserve">How Visualizations Supported a Data-Driven Narrative</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The Module Nine project is the clearest example of visualizations actively supporting a narrative. After blending education, income, and unemployment data by state, I found that educational attainment correlated strongly with median household income but had almost no relationship with unemployment rate. That finding shaped two different visualizations for two audiences. For an investor audience, I built a scatterplot highlighting states above the national median in both education and income, since that combination signals a strong market. For a workforce-policy audience, I built a sorted bar chart ranking states by the share of adults without a diploma, since that audience needed to see where investment was most urgently needed. Neither chart would have supported its narrative had I reused the original exploratory scatterplot for both; the customization itself made each visualization argue its point effectively.</w:t>
      </w:r>
    </w:p>
    <w:p>
      <w:pPr>
        <w:spacing w:line="480" w:lineRule="auto"/>
      </w:pPr>
      <w:r>
        <w:rPr>
          <w:rFonts w:ascii="Times New Roman" w:cs="Times New Roman" w:eastAsia="Times New Roman" w:hAnsi="Times New Roman"/>
          <w:b/>
          <w:bCs/>
          <w:sz w:val="24"/>
          <w:szCs w:val="24"/>
        </w:rPr>
        <w:t xml:space="preserve">How My Perspective on Working with Data Has Changed</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At the start of this course, I thought of data visualization mainly as a final formatting step, done after the analysis was finished, to make results look presentable. I now see it as part of the analysis itself. Deciding how to blend datasets, which relationships to highlight, and how to customize a chart for a reader are analytical decisions, and getting them wrong can misrepresent a correct finding as easily as a calculation error can. The feedback on my early work, and designing two distinct narratives from one dataset in Module Nine, both reinforced that a chart is not neutral; it shapes what a reader concludes. I now treat every visualization I build as an argument I am responsible for making clearly and accurately, not a picture attached to already-finished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2026-09-10T17:14:16.153Z</dcterms:created>
  <dcterms:modified xsi:type="dcterms:W3CDTF">2026-09-10T17:14:16.153Z</dcterms:modified>
</cp:coreProperties>
</file>

<file path=docProps/custom.xml><?xml version="1.0" encoding="utf-8"?>
<Properties xmlns="http://schemas.openxmlformats.org/officeDocument/2006/custom-properties" xmlns:vt="http://schemas.openxmlformats.org/officeDocument/2006/docPropsVTypes"/>
</file>