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E4A01" w14:textId="77777777" w:rsidR="00C74F75" w:rsidRDefault="00AA0D84">
      <w:pPr>
        <w:spacing w:line="480" w:lineRule="auto"/>
        <w:jc w:val="center"/>
      </w:pPr>
      <w:r>
        <w:rPr>
          <w:b/>
          <w:bCs/>
          <w:sz w:val="24"/>
          <w:szCs w:val="24"/>
        </w:rPr>
        <w:t>Comparing Visualizations of State Higher Education Appropriations</w:t>
      </w:r>
    </w:p>
    <w:p w14:paraId="5C1E4A02" w14:textId="77777777" w:rsidR="00C74F75" w:rsidRDefault="00AA0D84">
      <w:pPr>
        <w:spacing w:line="480" w:lineRule="auto"/>
        <w:jc w:val="center"/>
      </w:pPr>
      <w:r>
        <w:rPr>
          <w:sz w:val="24"/>
          <w:szCs w:val="24"/>
        </w:rPr>
        <w:t>Spencer Previlon</w:t>
      </w:r>
    </w:p>
    <w:p w14:paraId="5C1E4A03" w14:textId="77777777" w:rsidR="00C74F75" w:rsidRDefault="00AA0D84">
      <w:pPr>
        <w:spacing w:line="480" w:lineRule="auto"/>
        <w:jc w:val="center"/>
      </w:pPr>
      <w:r>
        <w:rPr>
          <w:sz w:val="24"/>
          <w:szCs w:val="24"/>
        </w:rPr>
        <w:t>Southern New Hampshire University</w:t>
      </w:r>
    </w:p>
    <w:p w14:paraId="5C1E4A04" w14:textId="47FA4186" w:rsidR="00C74F75" w:rsidRDefault="001E65DD">
      <w:pPr>
        <w:spacing w:line="480" w:lineRule="auto"/>
      </w:pPr>
      <w:r>
        <w:rPr>
          <w:sz w:val="24"/>
          <w:szCs w:val="24"/>
        </w:rPr>
        <w:t xml:space="preserve">As part of a data analytics team supporting a </w:t>
      </w:r>
      <w:proofErr w:type="gramStart"/>
      <w:r>
        <w:rPr>
          <w:sz w:val="24"/>
          <w:szCs w:val="24"/>
        </w:rPr>
        <w:t>nonprofit's</w:t>
      </w:r>
      <w:proofErr w:type="gramEnd"/>
      <w:r>
        <w:rPr>
          <w:sz w:val="24"/>
          <w:szCs w:val="24"/>
        </w:rPr>
        <w:t xml:space="preserve"> report on regional education funding, my task is to evaluate three visualizations based on the same data set: </w:t>
      </w:r>
      <w:r w:rsidR="00C17765">
        <w:rPr>
          <w:sz w:val="24"/>
          <w:szCs w:val="24"/>
        </w:rPr>
        <w:t>30 years of state appropriations for higher education, measured in dollars per full-time equivalent</w:t>
      </w:r>
      <w:r>
        <w:rPr>
          <w:sz w:val="24"/>
          <w:szCs w:val="24"/>
        </w:rPr>
        <w:t xml:space="preserve"> (FTE) student. The analysis below explains how each visualization represents the data, compares their effectiveness, and recommends which best serves the report's audience of policymakers and education advocates, most of whom are not trained in data analysis.</w:t>
      </w:r>
    </w:p>
    <w:p w14:paraId="5C1E4A05" w14:textId="77777777" w:rsidR="00C74F75" w:rsidRDefault="00AA0D84">
      <w:pPr>
        <w:spacing w:before="200" w:line="480" w:lineRule="auto"/>
      </w:pPr>
      <w:r>
        <w:rPr>
          <w:b/>
          <w:bCs/>
          <w:sz w:val="24"/>
          <w:szCs w:val="24"/>
        </w:rPr>
        <w:t>How Each Visualization Represents the Data</w:t>
      </w:r>
    </w:p>
    <w:p w14:paraId="5C1E4A06" w14:textId="61D6C940" w:rsidR="00C74F75" w:rsidRDefault="001D083C">
      <w:pPr>
        <w:spacing w:line="480" w:lineRule="auto"/>
      </w:pPr>
      <w:r>
        <w:rPr>
          <w:sz w:val="24"/>
          <w:szCs w:val="24"/>
        </w:rPr>
        <w:t>Technical Visualization is a multi-line chart that tracks appropriations per FTE student for five states (California, New York, Texas, Florida, and Illinois) across six academic years, from 1990-91 to 2020-21. It shows change over time, allowing a viewer to trace each state's trajectory, including a shared decline around 2010-11 followed by recovery.</w:t>
      </w:r>
    </w:p>
    <w:p w14:paraId="5C1E4A07" w14:textId="3F006AEC" w:rsidR="00C74F75" w:rsidRDefault="001D083C">
      <w:pPr>
        <w:spacing w:line="480" w:lineRule="auto"/>
      </w:pPr>
      <w:r>
        <w:rPr>
          <w:sz w:val="24"/>
          <w:szCs w:val="24"/>
        </w:rPr>
        <w:t xml:space="preserve">The Simple Visualization is a single-year bar chart </w:t>
      </w:r>
      <w:r w:rsidR="00C17765">
        <w:rPr>
          <w:sz w:val="24"/>
          <w:szCs w:val="24"/>
        </w:rPr>
        <w:t>showing appropriations per FTE student for 10</w:t>
      </w:r>
      <w:r>
        <w:rPr>
          <w:sz w:val="24"/>
          <w:szCs w:val="24"/>
        </w:rPr>
        <w:t xml:space="preserve"> states in 2020-21, with a dashed reference line marking the national average of $8,750. It provides a snapshot comparison, indicating which states funded above or below the national benchmark at a single point in time, without historical context.</w:t>
      </w:r>
    </w:p>
    <w:p w14:paraId="5C1E4A08" w14:textId="462B3719" w:rsidR="00C74F75" w:rsidRDefault="001D083C">
      <w:pPr>
        <w:spacing w:line="480" w:lineRule="auto"/>
      </w:pPr>
      <w:r>
        <w:rPr>
          <w:sz w:val="24"/>
          <w:szCs w:val="24"/>
        </w:rPr>
        <w:t>Story Visualization combines two panels. The top panel is a horizontal bar chart ranking the ten states by the percent change in appropriations from 1990-91 to 2020-21. The bottom panel is a series of box plots, one per academic year, showing the distribution of appropriations across all states in that year. Together, they show both long-term growth by state and how the overall spread of funding across states has shifted over three decades.</w:t>
      </w:r>
    </w:p>
    <w:p w14:paraId="5C1E4A09" w14:textId="77777777" w:rsidR="00C74F75" w:rsidRDefault="00AA0D84">
      <w:pPr>
        <w:spacing w:before="200" w:line="480" w:lineRule="auto"/>
      </w:pPr>
      <w:r>
        <w:rPr>
          <w:b/>
          <w:bCs/>
          <w:sz w:val="24"/>
          <w:szCs w:val="24"/>
        </w:rPr>
        <w:lastRenderedPageBreak/>
        <w:t>Key Characteristics</w:t>
      </w:r>
    </w:p>
    <w:p w14:paraId="5C1E4A0A" w14:textId="7B27F946" w:rsidR="00C74F75" w:rsidRDefault="00AA0D84">
      <w:pPr>
        <w:spacing w:line="480" w:lineRule="auto"/>
      </w:pPr>
      <w:r>
        <w:rPr>
          <w:sz w:val="24"/>
          <w:szCs w:val="24"/>
        </w:rPr>
        <w:t xml:space="preserve">Technical Visualization: a line chart with markers at each data point. The layout is a single panel with </w:t>
      </w:r>
      <w:r w:rsidR="003B61BE">
        <w:rPr>
          <w:sz w:val="24"/>
          <w:szCs w:val="24"/>
        </w:rPr>
        <w:t>the academic year on the x-axis (unevenly spaced, since early intervals span 10 years and later ones span 1 to 5</w:t>
      </w:r>
      <w:r>
        <w:rPr>
          <w:sz w:val="24"/>
          <w:szCs w:val="24"/>
        </w:rPr>
        <w:t xml:space="preserve"> years) and dollars per FTE student on the y-axis. A color-coded legend in the </w:t>
      </w:r>
      <w:r w:rsidR="003B61BE">
        <w:rPr>
          <w:sz w:val="24"/>
          <w:szCs w:val="24"/>
        </w:rPr>
        <w:t xml:space="preserve">upper-left identifies each of the five states, and the chart includes a title, a </w:t>
      </w:r>
      <w:r>
        <w:rPr>
          <w:sz w:val="24"/>
          <w:szCs w:val="24"/>
        </w:rPr>
        <w:t>subtitle, and labeled axes with units.</w:t>
      </w:r>
    </w:p>
    <w:p w14:paraId="5C1E4A0B" w14:textId="77777777" w:rsidR="00C74F75" w:rsidRDefault="00AA0D84">
      <w:pPr>
        <w:spacing w:line="480" w:lineRule="auto"/>
      </w:pPr>
      <w:r>
        <w:rPr>
          <w:sz w:val="24"/>
          <w:szCs w:val="24"/>
        </w:rPr>
        <w:t>Simple Visualization: a vertical bar chart. The layout is a single panel with ten states along the x-axis, labels rotated forty-five degrees for readability, and dollars on the y-axis. A dashed horizontal line overlays the bars to mark the national average, with its value stated in the legend, and the chart carries a clear title and fully labeled axes.</w:t>
      </w:r>
    </w:p>
    <w:p w14:paraId="5C1E4A0C" w14:textId="77777777" w:rsidR="00C74F75" w:rsidRDefault="00AA0D84">
      <w:pPr>
        <w:spacing w:line="480" w:lineRule="auto"/>
      </w:pPr>
      <w:r>
        <w:rPr>
          <w:sz w:val="24"/>
          <w:szCs w:val="24"/>
        </w:rPr>
        <w:t>Story Visualization: a two-panel, stacked layout. The top panel is a horizontal bar chart sorted in descending order by percent change, with state names on the y-axis and percent change on the x-axis. The bottom panel is a set of box-and-whisker plots, with academic year on the x-axis and dollars per FTE student on the y-axis; each box shows the median, interquartile range, and whiskers for that year's state values. Both panels are individually titled and labeled.</w:t>
      </w:r>
    </w:p>
    <w:p w14:paraId="5C1E4A0D" w14:textId="77777777" w:rsidR="00C74F75" w:rsidRDefault="00AA0D84">
      <w:pPr>
        <w:spacing w:before="200" w:line="480" w:lineRule="auto"/>
      </w:pPr>
      <w:r>
        <w:rPr>
          <w:b/>
          <w:bCs/>
          <w:sz w:val="24"/>
          <w:szCs w:val="24"/>
        </w:rPr>
        <w:t>Comparing the Visualizations</w:t>
      </w:r>
    </w:p>
    <w:p w14:paraId="5C1E4A0E" w14:textId="48CA6D5D" w:rsidR="00C74F75" w:rsidRDefault="00AA0D84">
      <w:pPr>
        <w:spacing w:line="480" w:lineRule="auto"/>
      </w:pPr>
      <w:r>
        <w:rPr>
          <w:sz w:val="24"/>
          <w:szCs w:val="24"/>
        </w:rPr>
        <w:t xml:space="preserve">In terms of clarity, the Simple Visualization is easiest to read </w:t>
      </w:r>
      <w:proofErr w:type="gramStart"/>
      <w:r>
        <w:rPr>
          <w:sz w:val="24"/>
          <w:szCs w:val="24"/>
        </w:rPr>
        <w:t>at a glance</w:t>
      </w:r>
      <w:proofErr w:type="gramEnd"/>
      <w:r>
        <w:rPr>
          <w:sz w:val="24"/>
          <w:szCs w:val="24"/>
        </w:rPr>
        <w:t xml:space="preserve">: one bar per state, one reference line, one clear takeaway. </w:t>
      </w:r>
      <w:r w:rsidR="003B61BE">
        <w:rPr>
          <w:sz w:val="24"/>
          <w:szCs w:val="24"/>
        </w:rPr>
        <w:t>Technical</w:t>
      </w:r>
      <w:r>
        <w:rPr>
          <w:sz w:val="24"/>
          <w:szCs w:val="24"/>
        </w:rPr>
        <w:t xml:space="preserve"> Visualization requires more effort</w:t>
      </w:r>
      <w:r w:rsidR="003B61BE">
        <w:rPr>
          <w:sz w:val="24"/>
          <w:szCs w:val="24"/>
        </w:rPr>
        <w:t xml:space="preserve"> because five overlapping lines cross paths (notably California and Illinois near 2010-11), and distinguishing states </w:t>
      </w:r>
      <w:proofErr w:type="gramStart"/>
      <w:r w:rsidR="003B61BE">
        <w:rPr>
          <w:sz w:val="24"/>
          <w:szCs w:val="24"/>
        </w:rPr>
        <w:t>depends</w:t>
      </w:r>
      <w:proofErr w:type="gramEnd"/>
      <w:r w:rsidR="003B61BE">
        <w:rPr>
          <w:sz w:val="24"/>
          <w:szCs w:val="24"/>
        </w:rPr>
        <w:t xml:space="preserve"> on matching line colors</w:t>
      </w:r>
      <w:r>
        <w:rPr>
          <w:sz w:val="24"/>
          <w:szCs w:val="24"/>
        </w:rPr>
        <w:t xml:space="preserve"> to the legend. The Story Visualization is mixed: </w:t>
      </w:r>
      <w:r w:rsidR="003B61BE">
        <w:rPr>
          <w:sz w:val="24"/>
          <w:szCs w:val="24"/>
        </w:rPr>
        <w:t>it’s</w:t>
      </w:r>
      <w:r>
        <w:rPr>
          <w:sz w:val="24"/>
          <w:szCs w:val="24"/>
        </w:rPr>
        <w:t xml:space="preserve"> percent-change bar chart is as clear as the Simple Visualization, but its box plots demand familiarity with quartiles and medians that a general audience is less likely to have.</w:t>
      </w:r>
    </w:p>
    <w:p w14:paraId="5C1E4A0F" w14:textId="21878842" w:rsidR="00C74F75" w:rsidRDefault="00AA0D84">
      <w:pPr>
        <w:spacing w:line="480" w:lineRule="auto"/>
      </w:pPr>
      <w:r>
        <w:rPr>
          <w:sz w:val="24"/>
          <w:szCs w:val="24"/>
        </w:rPr>
        <w:lastRenderedPageBreak/>
        <w:t xml:space="preserve">In terms of data type alignment, each chart type fits its underlying data reasonably well on technical grounds. The line chart suits the Technical Visualization's continuous time-series data, </w:t>
      </w:r>
      <w:r w:rsidR="003B61BE">
        <w:rPr>
          <w:sz w:val="24"/>
          <w:szCs w:val="24"/>
        </w:rPr>
        <w:t>clearly showing the trend and rate of change</w:t>
      </w:r>
      <w:r>
        <w:rPr>
          <w:sz w:val="24"/>
          <w:szCs w:val="24"/>
        </w:rPr>
        <w:t xml:space="preserve">. The bar chart in the Simple Visualization </w:t>
      </w:r>
      <w:r w:rsidR="003B61BE">
        <w:rPr>
          <w:sz w:val="24"/>
          <w:szCs w:val="24"/>
        </w:rPr>
        <w:t>is well-suited to</w:t>
      </w:r>
      <w:r>
        <w:rPr>
          <w:sz w:val="24"/>
          <w:szCs w:val="24"/>
        </w:rPr>
        <w:t xml:space="preserve"> categorical, single-point-in-time comparisons across states. The Story Visualization's bar chart is likewise </w:t>
      </w:r>
      <w:r w:rsidR="003B61BE">
        <w:rPr>
          <w:sz w:val="24"/>
          <w:szCs w:val="24"/>
        </w:rPr>
        <w:t xml:space="preserve">well-aligned for ranked percent-change data, but the box plot, while statistically appropriate for showing the </w:t>
      </w:r>
      <w:r>
        <w:rPr>
          <w:sz w:val="24"/>
          <w:szCs w:val="24"/>
        </w:rPr>
        <w:t>distribution, is a more advanced encoding than this audience's data literacy calls for.</w:t>
      </w:r>
    </w:p>
    <w:p w14:paraId="5C1E4A10" w14:textId="77777777" w:rsidR="00C74F75" w:rsidRDefault="00AA0D84">
      <w:pPr>
        <w:spacing w:before="200" w:line="480" w:lineRule="auto"/>
      </w:pPr>
      <w:r>
        <w:rPr>
          <w:b/>
          <w:bCs/>
          <w:sz w:val="24"/>
          <w:szCs w:val="24"/>
        </w:rPr>
        <w:t>Most Appropriate Visualization for the Audience</w:t>
      </w:r>
    </w:p>
    <w:p w14:paraId="5C1E4A11" w14:textId="4E0BB034" w:rsidR="00C74F75" w:rsidRDefault="00AA0D84">
      <w:pPr>
        <w:spacing w:line="480" w:lineRule="auto"/>
      </w:pPr>
      <w:r>
        <w:rPr>
          <w:sz w:val="24"/>
          <w:szCs w:val="24"/>
        </w:rPr>
        <w:t xml:space="preserve">For an audience of policymakers and education advocates who are not data experts, </w:t>
      </w:r>
      <w:r w:rsidR="003B61BE">
        <w:rPr>
          <w:sz w:val="24"/>
          <w:szCs w:val="24"/>
        </w:rPr>
        <w:t>Simple</w:t>
      </w:r>
      <w:r>
        <w:rPr>
          <w:sz w:val="24"/>
          <w:szCs w:val="24"/>
        </w:rPr>
        <w:t xml:space="preserve"> Visualization is the most appropriate choice </w:t>
      </w:r>
      <w:r w:rsidR="003B61BE">
        <w:rPr>
          <w:sz w:val="24"/>
          <w:szCs w:val="24"/>
        </w:rPr>
        <w:t>for</w:t>
      </w:r>
      <w:r>
        <w:rPr>
          <w:sz w:val="24"/>
          <w:szCs w:val="24"/>
        </w:rPr>
        <w:t xml:space="preserve"> the report. Its single, uncluttered message, current funding levels relative to the national average, is immediately understandable without prior training in reading charts. It avoids the cognitive load of tracking five overlapping lines and the statistical vocabulary needed to interpret box plots. Because the report's goal is to inform decisions rather than support exploratory analysis, one clear, defensible insight is more valuable than added analytical depth purchased at the cost of accessibility.</w:t>
      </w:r>
    </w:p>
    <w:p w14:paraId="5C1E4A12" w14:textId="77777777" w:rsidR="00C74F75" w:rsidRDefault="00AA0D84">
      <w:pPr>
        <w:spacing w:before="200" w:line="480" w:lineRule="auto"/>
      </w:pPr>
      <w:r>
        <w:rPr>
          <w:b/>
          <w:bCs/>
          <w:sz w:val="24"/>
          <w:szCs w:val="24"/>
        </w:rPr>
        <w:t>Recommended Refinements</w:t>
      </w:r>
    </w:p>
    <w:p w14:paraId="5C1E4A13" w14:textId="77777777" w:rsidR="00C74F75" w:rsidRDefault="00AA0D84">
      <w:pPr>
        <w:spacing w:line="480" w:lineRule="auto"/>
      </w:pPr>
      <w:r>
        <w:rPr>
          <w:sz w:val="24"/>
          <w:szCs w:val="24"/>
        </w:rPr>
        <w:t>Even the recommended Simple Visualization could be strengthened. Sorting the bars in descending order by funding level, rather than the current arbitrary state order, would let readers immediately see which states rank highest and lowest. Adding data labels above each bar would let readers read exact dollar figures directly, rather than estimating from the y-axis.</w:t>
      </w:r>
    </w:p>
    <w:p w14:paraId="5C1E4A14" w14:textId="05F76661" w:rsidR="00C74F75" w:rsidRDefault="00AA0D84">
      <w:pPr>
        <w:spacing w:line="480" w:lineRule="auto"/>
      </w:pPr>
      <w:r>
        <w:rPr>
          <w:sz w:val="24"/>
          <w:szCs w:val="24"/>
        </w:rPr>
        <w:t xml:space="preserve">Two further refinements would preserve historical context from the other visualizations. </w:t>
      </w:r>
      <w:r w:rsidR="003B61BE">
        <w:rPr>
          <w:sz w:val="24"/>
          <w:szCs w:val="24"/>
        </w:rPr>
        <w:t>Technical</w:t>
      </w:r>
      <w:r>
        <w:rPr>
          <w:sz w:val="24"/>
          <w:szCs w:val="24"/>
        </w:rPr>
        <w:t xml:space="preserve"> Visualization could be limited to two or three states most relevant to the report, with labels placed at the end of each line instead of in a separate legend, reducing the color-matching </w:t>
      </w:r>
      <w:r>
        <w:rPr>
          <w:sz w:val="24"/>
          <w:szCs w:val="24"/>
        </w:rPr>
        <w:lastRenderedPageBreak/>
        <w:t>burden. The Story Visualization's percent-change panel could stand alone as a supporting exhibit, since it is as accessible as a standard bar chart, while its box-plot panel could be replaced with a plain-language annotation stating the typical range of state funding each year. These changes are justified because they preserve each visualization's most valuable insight while removing the elements</w:t>
      </w:r>
      <w:r w:rsidR="003B61BE">
        <w:rPr>
          <w:sz w:val="24"/>
          <w:szCs w:val="24"/>
        </w:rPr>
        <w:t>- overlapping lines, uneven legends, and statistical notation-</w:t>
      </w:r>
      <w:r>
        <w:rPr>
          <w:sz w:val="24"/>
          <w:szCs w:val="24"/>
        </w:rPr>
        <w:t xml:space="preserve"> that create barriers for a non-expert audience.</w:t>
      </w:r>
    </w:p>
    <w:sectPr w:rsidR="00C74F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4390"/>
    <w:multiLevelType w:val="hybridMultilevel"/>
    <w:tmpl w:val="7436A2E6"/>
    <w:lvl w:ilvl="0" w:tplc="BEE05234">
      <w:start w:val="1"/>
      <w:numFmt w:val="bullet"/>
      <w:lvlText w:val="●"/>
      <w:lvlJc w:val="left"/>
      <w:pPr>
        <w:ind w:left="720" w:hanging="360"/>
      </w:pPr>
    </w:lvl>
    <w:lvl w:ilvl="1" w:tplc="EAFEA516">
      <w:start w:val="1"/>
      <w:numFmt w:val="bullet"/>
      <w:lvlText w:val="○"/>
      <w:lvlJc w:val="left"/>
      <w:pPr>
        <w:ind w:left="1440" w:hanging="360"/>
      </w:pPr>
    </w:lvl>
    <w:lvl w:ilvl="2" w:tplc="AABEBBE8">
      <w:start w:val="1"/>
      <w:numFmt w:val="bullet"/>
      <w:lvlText w:val="■"/>
      <w:lvlJc w:val="left"/>
      <w:pPr>
        <w:ind w:left="2160" w:hanging="360"/>
      </w:pPr>
    </w:lvl>
    <w:lvl w:ilvl="3" w:tplc="42D41B5C">
      <w:start w:val="1"/>
      <w:numFmt w:val="bullet"/>
      <w:lvlText w:val="●"/>
      <w:lvlJc w:val="left"/>
      <w:pPr>
        <w:ind w:left="2880" w:hanging="360"/>
      </w:pPr>
    </w:lvl>
    <w:lvl w:ilvl="4" w:tplc="218A243A">
      <w:start w:val="1"/>
      <w:numFmt w:val="bullet"/>
      <w:lvlText w:val="○"/>
      <w:lvlJc w:val="left"/>
      <w:pPr>
        <w:ind w:left="3600" w:hanging="360"/>
      </w:pPr>
    </w:lvl>
    <w:lvl w:ilvl="5" w:tplc="2F4E2BB4">
      <w:start w:val="1"/>
      <w:numFmt w:val="bullet"/>
      <w:lvlText w:val="■"/>
      <w:lvlJc w:val="left"/>
      <w:pPr>
        <w:ind w:left="4320" w:hanging="360"/>
      </w:pPr>
    </w:lvl>
    <w:lvl w:ilvl="6" w:tplc="018830CA">
      <w:start w:val="1"/>
      <w:numFmt w:val="bullet"/>
      <w:lvlText w:val="●"/>
      <w:lvlJc w:val="left"/>
      <w:pPr>
        <w:ind w:left="5040" w:hanging="360"/>
      </w:pPr>
    </w:lvl>
    <w:lvl w:ilvl="7" w:tplc="2B1C2FAE">
      <w:start w:val="1"/>
      <w:numFmt w:val="bullet"/>
      <w:lvlText w:val="●"/>
      <w:lvlJc w:val="left"/>
      <w:pPr>
        <w:ind w:left="5760" w:hanging="360"/>
      </w:pPr>
    </w:lvl>
    <w:lvl w:ilvl="8" w:tplc="82209042">
      <w:start w:val="1"/>
      <w:numFmt w:val="bullet"/>
      <w:lvlText w:val="●"/>
      <w:lvlJc w:val="left"/>
      <w:pPr>
        <w:ind w:left="6480" w:hanging="360"/>
      </w:pPr>
    </w:lvl>
  </w:abstractNum>
  <w:num w:numId="1" w16cid:durableId="1742747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F75"/>
    <w:rsid w:val="001D083C"/>
    <w:rsid w:val="001E65DD"/>
    <w:rsid w:val="002F46B1"/>
    <w:rsid w:val="003B61BE"/>
    <w:rsid w:val="00447652"/>
    <w:rsid w:val="00AA0D84"/>
    <w:rsid w:val="00C17765"/>
    <w:rsid w:val="00C74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4A01"/>
  <w15:docId w15:val="{0E60E298-8CE0-47D7-B021-4C2F1BABA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920</Words>
  <Characters>5248</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Spencer Previlon</cp:lastModifiedBy>
  <cp:revision>5</cp:revision>
  <dcterms:created xsi:type="dcterms:W3CDTF">2026-07-29T15:03:00Z</dcterms:created>
  <dcterms:modified xsi:type="dcterms:W3CDTF">2026-07-29T15:45:00Z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7b12a247-8c4c-4845-a81d-514018df78bb</vt:lpwstr>
  </property>
</Properties>
</file>