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709E" w14:textId="77777777" w:rsidR="00C96358" w:rsidRDefault="00000000">
      <w:pPr>
        <w:spacing w:line="480" w:lineRule="auto"/>
        <w:jc w:val="center"/>
      </w:pPr>
      <w:r>
        <w:rPr>
          <w:b/>
          <w:bCs/>
          <w:sz w:val="24"/>
          <w:szCs w:val="24"/>
        </w:rPr>
        <w:t>Module Five Reflection: Field of Study Data Visualizations</w:t>
      </w:r>
    </w:p>
    <w:p w14:paraId="2ACA709F" w14:textId="77777777" w:rsidR="00C96358" w:rsidRDefault="00000000">
      <w:pPr>
        <w:spacing w:line="480" w:lineRule="auto"/>
        <w:jc w:val="center"/>
      </w:pPr>
      <w:r>
        <w:rPr>
          <w:sz w:val="24"/>
          <w:szCs w:val="24"/>
        </w:rPr>
        <w:t>Spencer Previlon — CS 540</w:t>
      </w:r>
    </w:p>
    <w:p w14:paraId="2ACA70A0" w14:textId="77777777" w:rsidR="00C96358" w:rsidRDefault="00000000">
      <w:pPr>
        <w:spacing w:before="40" w:line="480" w:lineRule="auto"/>
      </w:pPr>
      <w:r>
        <w:rPr>
          <w:b/>
          <w:bCs/>
          <w:sz w:val="24"/>
          <w:szCs w:val="24"/>
        </w:rPr>
        <w:t>Patterns in the Data</w:t>
      </w:r>
    </w:p>
    <w:p w14:paraId="2ACA70A1" w14:textId="3E89CCDF" w:rsidR="00C96358" w:rsidRDefault="00000000">
      <w:pPr>
        <w:spacing w:line="480" w:lineRule="auto"/>
      </w:pPr>
      <w:r>
        <w:rPr>
          <w:sz w:val="24"/>
          <w:szCs w:val="24"/>
        </w:rPr>
        <w:t xml:space="preserve">The field-of-study data clustered into four groups by earnings and debt. The clearest pattern: engineering, computer science, and nursing (Cluster 1) started near $65,000 and reached $90,000 by year five, while education fields (Cluster 2) started under $34,000 and grew </w:t>
      </w:r>
      <w:r w:rsidR="008D2414">
        <w:rPr>
          <w:sz w:val="24"/>
          <w:szCs w:val="24"/>
        </w:rPr>
        <w:t>more slowly</w:t>
      </w:r>
      <w:r>
        <w:rPr>
          <w:sz w:val="24"/>
          <w:szCs w:val="24"/>
        </w:rPr>
        <w:t>. The dendrogram confirmed the same grouping independently of K-Means. Debt did not track earnings as tightly: Cluster 3 (allied health/IT fields) had the highest debt despite moderate earnings.</w:t>
      </w:r>
    </w:p>
    <w:p w14:paraId="2ACA70A2" w14:textId="77777777" w:rsidR="00C96358" w:rsidRDefault="00000000">
      <w:pPr>
        <w:spacing w:before="40" w:line="480" w:lineRule="auto"/>
      </w:pPr>
      <w:r>
        <w:rPr>
          <w:b/>
          <w:bCs/>
          <w:sz w:val="24"/>
          <w:szCs w:val="24"/>
        </w:rPr>
        <w:t>Conclusions</w:t>
      </w:r>
    </w:p>
    <w:p w14:paraId="2ACA70A3" w14:textId="77777777" w:rsidR="00C96358" w:rsidRDefault="00000000">
      <w:pPr>
        <w:spacing w:line="480" w:lineRule="auto"/>
      </w:pPr>
      <w:r>
        <w:rPr>
          <w:sz w:val="24"/>
          <w:szCs w:val="24"/>
        </w:rPr>
        <w:t xml:space="preserve">Field of study drives long-term earnings far more than it drives debt — the Cluster 1 vs. 2 </w:t>
      </w:r>
      <w:proofErr w:type="gramStart"/>
      <w:r>
        <w:rPr>
          <w:sz w:val="24"/>
          <w:szCs w:val="24"/>
        </w:rPr>
        <w:t>gap</w:t>
      </w:r>
      <w:proofErr w:type="gramEnd"/>
      <w:r>
        <w:rPr>
          <w:sz w:val="24"/>
          <w:szCs w:val="24"/>
        </w:rPr>
        <w:t xml:space="preserve"> widened every year, while debt across all clusters stayed within about $6,000. Higher debt is also not explained by higher earnings: Cluster 3's above-average debt with mid-range earnings suggests program cost, not income. Both points rest on multiple visuals, not one.</w:t>
      </w:r>
    </w:p>
    <w:p w14:paraId="2ACA70A4" w14:textId="6E93DD4E" w:rsidR="00C96358" w:rsidRDefault="00000000">
      <w:pPr>
        <w:spacing w:before="40" w:line="480" w:lineRule="auto"/>
      </w:pPr>
      <w:r>
        <w:rPr>
          <w:b/>
          <w:bCs/>
          <w:sz w:val="24"/>
          <w:szCs w:val="24"/>
        </w:rPr>
        <w:t xml:space="preserve">How </w:t>
      </w:r>
      <w:r w:rsidR="008D2414">
        <w:rPr>
          <w:b/>
          <w:bCs/>
          <w:sz w:val="24"/>
          <w:szCs w:val="24"/>
        </w:rPr>
        <w:t>Visualizations</w:t>
      </w:r>
      <w:r>
        <w:rPr>
          <w:b/>
          <w:bCs/>
          <w:sz w:val="24"/>
          <w:szCs w:val="24"/>
        </w:rPr>
        <w:t xml:space="preserve"> Validate the Findings</w:t>
      </w:r>
    </w:p>
    <w:p w14:paraId="2ACA70A5" w14:textId="77777777" w:rsidR="00C96358" w:rsidRDefault="00000000">
      <w:pPr>
        <w:spacing w:line="480" w:lineRule="auto"/>
      </w:pPr>
      <w:r>
        <w:rPr>
          <w:sz w:val="24"/>
          <w:szCs w:val="24"/>
        </w:rPr>
        <w:t>The PCA loading heatmap validated this most directly: earnings load almost entirely onto PC1 (0.56–0.58) while debt loads almost entirely onto PC2 (0.99), explaining why the scatterplot separates clusters horizontally by earnings and vertically by debt — not visible from summary statistics alone. The bar chart added a check the scatterplot could not: Cluster 2 is the largest group at 57 fields, so the lower-earning pattern is the norm, not an outlier.</w:t>
      </w:r>
    </w:p>
    <w:p w14:paraId="2ACA70A6" w14:textId="77777777" w:rsidR="00C96358" w:rsidRDefault="00000000">
      <w:pPr>
        <w:spacing w:before="40" w:line="480" w:lineRule="auto"/>
      </w:pPr>
      <w:r>
        <w:rPr>
          <w:b/>
          <w:bCs/>
          <w:sz w:val="24"/>
          <w:szCs w:val="24"/>
        </w:rPr>
        <w:t>Summary of Visualization Choices</w:t>
      </w:r>
    </w:p>
    <w:p w14:paraId="2ACA70A7" w14:textId="0EA2E431" w:rsidR="00C96358" w:rsidRDefault="00000000">
      <w:pPr>
        <w:spacing w:line="480" w:lineRule="auto"/>
      </w:pPr>
      <w:r>
        <w:rPr>
          <w:sz w:val="24"/>
          <w:szCs w:val="24"/>
        </w:rPr>
        <w:t>Six chart types</w:t>
      </w:r>
      <w:r w:rsidR="008D2414">
        <w:rPr>
          <w:sz w:val="24"/>
          <w:szCs w:val="24"/>
        </w:rPr>
        <w:t xml:space="preserve">, each suited to a different part of the question: the dendrogram and PCA scatterplot tested the same clustering in two ways, so their agreement is evidence that </w:t>
      </w:r>
      <w:r>
        <w:rPr>
          <w:sz w:val="24"/>
          <w:szCs w:val="24"/>
        </w:rPr>
        <w:t xml:space="preserve">it is real; </w:t>
      </w:r>
      <w:r>
        <w:rPr>
          <w:sz w:val="24"/>
          <w:szCs w:val="24"/>
        </w:rPr>
        <w:lastRenderedPageBreak/>
        <w:t xml:space="preserve">the bar chart suited cluster counts; the heatmap showed loading magnitude and direction together; the line chart suited the ordered trend. Every chart </w:t>
      </w:r>
      <w:r w:rsidR="008D2414">
        <w:rPr>
          <w:sz w:val="24"/>
          <w:szCs w:val="24"/>
        </w:rPr>
        <w:t>uses a single</w:t>
      </w:r>
      <w:r>
        <w:rPr>
          <w:sz w:val="24"/>
          <w:szCs w:val="24"/>
        </w:rPr>
        <w:t xml:space="preserve"> color-per-cluster palette, with axes in plain units.</w:t>
      </w:r>
    </w:p>
    <w:sectPr w:rsidR="00C963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7D76"/>
    <w:multiLevelType w:val="hybridMultilevel"/>
    <w:tmpl w:val="BF6AEBC6"/>
    <w:lvl w:ilvl="0" w:tplc="B1A8FA1E">
      <w:start w:val="1"/>
      <w:numFmt w:val="bullet"/>
      <w:lvlText w:val="●"/>
      <w:lvlJc w:val="left"/>
      <w:pPr>
        <w:ind w:left="720" w:hanging="360"/>
      </w:pPr>
    </w:lvl>
    <w:lvl w:ilvl="1" w:tplc="03B69D52">
      <w:start w:val="1"/>
      <w:numFmt w:val="bullet"/>
      <w:lvlText w:val="○"/>
      <w:lvlJc w:val="left"/>
      <w:pPr>
        <w:ind w:left="1440" w:hanging="360"/>
      </w:pPr>
    </w:lvl>
    <w:lvl w:ilvl="2" w:tplc="F7F63A0C">
      <w:start w:val="1"/>
      <w:numFmt w:val="bullet"/>
      <w:lvlText w:val="■"/>
      <w:lvlJc w:val="left"/>
      <w:pPr>
        <w:ind w:left="2160" w:hanging="360"/>
      </w:pPr>
    </w:lvl>
    <w:lvl w:ilvl="3" w:tplc="35A08730">
      <w:start w:val="1"/>
      <w:numFmt w:val="bullet"/>
      <w:lvlText w:val="●"/>
      <w:lvlJc w:val="left"/>
      <w:pPr>
        <w:ind w:left="2880" w:hanging="360"/>
      </w:pPr>
    </w:lvl>
    <w:lvl w:ilvl="4" w:tplc="AD80BB4E">
      <w:start w:val="1"/>
      <w:numFmt w:val="bullet"/>
      <w:lvlText w:val="○"/>
      <w:lvlJc w:val="left"/>
      <w:pPr>
        <w:ind w:left="3600" w:hanging="360"/>
      </w:pPr>
    </w:lvl>
    <w:lvl w:ilvl="5" w:tplc="1E32C740">
      <w:start w:val="1"/>
      <w:numFmt w:val="bullet"/>
      <w:lvlText w:val="■"/>
      <w:lvlJc w:val="left"/>
      <w:pPr>
        <w:ind w:left="4320" w:hanging="360"/>
      </w:pPr>
    </w:lvl>
    <w:lvl w:ilvl="6" w:tplc="8440E9F8">
      <w:start w:val="1"/>
      <w:numFmt w:val="bullet"/>
      <w:lvlText w:val="●"/>
      <w:lvlJc w:val="left"/>
      <w:pPr>
        <w:ind w:left="5040" w:hanging="360"/>
      </w:pPr>
    </w:lvl>
    <w:lvl w:ilvl="7" w:tplc="89BE9ED0">
      <w:start w:val="1"/>
      <w:numFmt w:val="bullet"/>
      <w:lvlText w:val="●"/>
      <w:lvlJc w:val="left"/>
      <w:pPr>
        <w:ind w:left="5760" w:hanging="360"/>
      </w:pPr>
    </w:lvl>
    <w:lvl w:ilvl="8" w:tplc="0DF6DB46">
      <w:start w:val="1"/>
      <w:numFmt w:val="bullet"/>
      <w:lvlText w:val="●"/>
      <w:lvlJc w:val="left"/>
      <w:pPr>
        <w:ind w:left="6480" w:hanging="360"/>
      </w:pPr>
    </w:lvl>
  </w:abstractNum>
  <w:num w:numId="1" w16cid:durableId="305816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358"/>
    <w:rsid w:val="00731356"/>
    <w:rsid w:val="008D2414"/>
    <w:rsid w:val="00C9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709E"/>
  <w15:docId w15:val="{4E235273-C9B7-4957-995F-877AF0C9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Spencer Previlon</cp:lastModifiedBy>
  <cp:revision>2</cp:revision>
  <dcterms:created xsi:type="dcterms:W3CDTF">2026-08-10T20:31:00Z</dcterms:created>
  <dcterms:modified xsi:type="dcterms:W3CDTF">2026-08-10T20:42:00Z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c4ffc4a4-8d64-4c6f-992a-0867d2d62603</vt:lpwstr>
  </property>
</Properties>
</file>