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3E85" w14:textId="77777777" w:rsidR="00E17072" w:rsidRDefault="00000000">
      <w:pPr>
        <w:spacing w:line="480" w:lineRule="auto"/>
        <w:jc w:val="center"/>
      </w:pPr>
      <w:r>
        <w:rPr>
          <w:b/>
          <w:bCs/>
          <w:sz w:val="24"/>
          <w:szCs w:val="24"/>
        </w:rPr>
        <w:t>Transit Usage Disparities Across Three Neighborhoods: An Exploratory Data Analysis</w:t>
      </w:r>
    </w:p>
    <w:p w14:paraId="16993E86" w14:textId="77777777" w:rsidR="00E17072" w:rsidRDefault="00000000">
      <w:pPr>
        <w:spacing w:line="480" w:lineRule="auto"/>
        <w:jc w:val="center"/>
      </w:pPr>
      <w:r>
        <w:rPr>
          <w:sz w:val="24"/>
          <w:szCs w:val="24"/>
        </w:rPr>
        <w:t>Spencer Previlon</w:t>
      </w:r>
    </w:p>
    <w:p w14:paraId="16993E87" w14:textId="77777777" w:rsidR="00E17072" w:rsidRDefault="00000000">
      <w:pPr>
        <w:spacing w:line="480" w:lineRule="auto"/>
        <w:jc w:val="center"/>
      </w:pPr>
      <w:r>
        <w:rPr>
          <w:sz w:val="24"/>
          <w:szCs w:val="24"/>
        </w:rPr>
        <w:t>Southern New Hampshire University</w:t>
      </w:r>
    </w:p>
    <w:p w14:paraId="16993E88" w14:textId="77777777" w:rsidR="00E17072" w:rsidRDefault="00E17072">
      <w:pPr>
        <w:spacing w:line="480" w:lineRule="auto"/>
      </w:pPr>
    </w:p>
    <w:p w14:paraId="16993E89" w14:textId="77777777" w:rsidR="00E17072" w:rsidRDefault="00000000">
      <w:pPr>
        <w:spacing w:line="480" w:lineRule="auto"/>
      </w:pPr>
      <w:r>
        <w:rPr>
          <w:b/>
          <w:bCs/>
          <w:sz w:val="24"/>
          <w:szCs w:val="24"/>
        </w:rPr>
        <w:t>Introduction</w:t>
      </w:r>
    </w:p>
    <w:p w14:paraId="16993E8A" w14:textId="2F787511" w:rsidR="00E17072" w:rsidRDefault="00000000">
      <w:pPr>
        <w:spacing w:line="480" w:lineRule="auto"/>
        <w:ind w:firstLine="720"/>
      </w:pPr>
      <w:r>
        <w:rPr>
          <w:sz w:val="24"/>
          <w:szCs w:val="24"/>
        </w:rPr>
        <w:t xml:space="preserve">As a data consultant for a nonprofit focused on improving public transportation, I analyzed National Transit Database ridership data for three </w:t>
      </w:r>
      <w:r w:rsidR="006F7D37">
        <w:rPr>
          <w:sz w:val="24"/>
          <w:szCs w:val="24"/>
        </w:rPr>
        <w:t>Washington neighborhoods: King County, the City of Longview, and the Spokane Transit Authority</w:t>
      </w:r>
      <w:r>
        <w:rPr>
          <w:sz w:val="24"/>
          <w:szCs w:val="24"/>
        </w:rPr>
        <w:t>. The goal was to identify patterns and disparities that could inform the nonprofit's strategy for expanding equitable transit access. Three visualizations were produced: ridership by mode of service, total ridership by neighborhood, and a scatterplot of ridership versus urbanized area population.</w:t>
      </w:r>
    </w:p>
    <w:p w14:paraId="16993E8B" w14:textId="77777777" w:rsidR="00E17072" w:rsidRDefault="00000000">
      <w:pPr>
        <w:spacing w:line="480" w:lineRule="auto"/>
      </w:pPr>
      <w:r>
        <w:rPr>
          <w:b/>
          <w:bCs/>
          <w:sz w:val="24"/>
          <w:szCs w:val="24"/>
        </w:rPr>
        <w:t>Trends, Differences, and Outliers</w:t>
      </w:r>
    </w:p>
    <w:p w14:paraId="16993E8C" w14:textId="77777777" w:rsidR="00E17072" w:rsidRDefault="00000000">
      <w:pPr>
        <w:spacing w:line="480" w:lineRule="auto"/>
        <w:ind w:firstLine="720"/>
      </w:pPr>
      <w:r>
        <w:rPr>
          <w:sz w:val="24"/>
          <w:szCs w:val="24"/>
        </w:rPr>
        <w:t>The total ridership bar chart shows an extreme imbalance: King County recorded roughly 80 million unlinked passenger trips, compared to about 9 million for Spokane and a figure barely visible on the same scale for Longview, nearly nine times Spokane's total and over one hundred times Longview's. The mode-of-service breakdown shows why: motorbus service drives the vast majority of ridership everywhere, but King County also runs a substantial trolleybus service that is essentially absent in the other two, pointing to a more diversified network. Longview is the clearest outlier in the scatterplot, its ridership disproportionately low even relative to its already-small population, sitting well below the trend implied by the other two points.</w:t>
      </w:r>
    </w:p>
    <w:p w14:paraId="16993E8D" w14:textId="77777777" w:rsidR="00E17072" w:rsidRDefault="00000000">
      <w:pPr>
        <w:spacing w:line="480" w:lineRule="auto"/>
      </w:pPr>
      <w:r>
        <w:rPr>
          <w:b/>
          <w:bCs/>
          <w:sz w:val="24"/>
          <w:szCs w:val="24"/>
        </w:rPr>
        <w:t>Disparities and Patterns Relevant to the Nonprofit's Goals</w:t>
      </w:r>
    </w:p>
    <w:p w14:paraId="16993E8E" w14:textId="73C2BBCB" w:rsidR="00E17072" w:rsidRDefault="00000000">
      <w:pPr>
        <w:spacing w:line="480" w:lineRule="auto"/>
        <w:ind w:firstLine="720"/>
      </w:pPr>
      <w:r>
        <w:rPr>
          <w:sz w:val="24"/>
          <w:szCs w:val="24"/>
        </w:rPr>
        <w:t>Transit usage is concentrated in the largest, most urbanized area and drops off sharply in smaller communities, and not just proportionally. King County's population is roughly eight times Spokane's, yet its ridership advantage is proportionally larger still, suggesting a service-</w:t>
      </w:r>
      <w:r>
        <w:rPr>
          <w:sz w:val="24"/>
          <w:szCs w:val="24"/>
        </w:rPr>
        <w:lastRenderedPageBreak/>
        <w:t xml:space="preserve">availability gap rather than a demand gap alone: smaller and more rural areas likely have fewer routes, lower frequency, and fewer mode options, which suppresses ridership independent of underlying need. Longview's shortfall relative to its population is the clearest evidence of this: if ridership scaled </w:t>
      </w:r>
      <w:r w:rsidR="006F7D37">
        <w:rPr>
          <w:sz w:val="24"/>
          <w:szCs w:val="24"/>
        </w:rPr>
        <w:t xml:space="preserve">roughly as it </w:t>
      </w:r>
      <w:r>
        <w:rPr>
          <w:sz w:val="24"/>
          <w:szCs w:val="24"/>
        </w:rPr>
        <w:t xml:space="preserve">does between King County and Spokane, Longview's usage would be higher than observed. For a nonprofit focused on transportation access, this </w:t>
      </w:r>
      <w:r w:rsidR="006F7D37">
        <w:rPr>
          <w:sz w:val="24"/>
          <w:szCs w:val="24"/>
        </w:rPr>
        <w:t xml:space="preserve">disparity signals that </w:t>
      </w:r>
      <w:r>
        <w:rPr>
          <w:sz w:val="24"/>
          <w:szCs w:val="24"/>
        </w:rPr>
        <w:t>residents of smaller service areas have measurably weaker access to transit's mobility benefits.</w:t>
      </w:r>
    </w:p>
    <w:p w14:paraId="16993E8F" w14:textId="77777777" w:rsidR="00E17072" w:rsidRDefault="00000000">
      <w:pPr>
        <w:spacing w:line="480" w:lineRule="auto"/>
      </w:pPr>
      <w:r>
        <w:rPr>
          <w:b/>
          <w:bCs/>
          <w:sz w:val="24"/>
          <w:szCs w:val="24"/>
        </w:rPr>
        <w:t>Summary of What the Data Suggests</w:t>
      </w:r>
    </w:p>
    <w:p w14:paraId="16993E90" w14:textId="5DA498B0" w:rsidR="00E17072" w:rsidRDefault="00000000">
      <w:pPr>
        <w:spacing w:line="480" w:lineRule="auto"/>
        <w:ind w:firstLine="720"/>
      </w:pPr>
      <w:r>
        <w:rPr>
          <w:sz w:val="24"/>
          <w:szCs w:val="24"/>
        </w:rPr>
        <w:t xml:space="preserve">Together, the visualizations suggest transit usage is not simply a function of population size. King County's large, diversified network drives disproportionately high ridership; Spokane's smaller, single-mode network produces moderate ridership roughly in line with its population; and Longview's minimal network results in usage well below what its population would predict. The pattern is one of compounding </w:t>
      </w:r>
      <w:r w:rsidR="005903BB">
        <w:rPr>
          <w:sz w:val="24"/>
          <w:szCs w:val="24"/>
        </w:rPr>
        <w:t>advantages</w:t>
      </w:r>
      <w:r>
        <w:rPr>
          <w:sz w:val="24"/>
          <w:szCs w:val="24"/>
        </w:rPr>
        <w:t>, where larger areas have both more people and more developed systems, widening the access gap rather than narrowing it.</w:t>
      </w:r>
    </w:p>
    <w:p w14:paraId="16993E91" w14:textId="67203DF1" w:rsidR="00E17072" w:rsidRDefault="00000000">
      <w:pPr>
        <w:spacing w:line="480" w:lineRule="auto"/>
      </w:pPr>
      <w:r>
        <w:rPr>
          <w:b/>
          <w:bCs/>
          <w:sz w:val="24"/>
          <w:szCs w:val="24"/>
        </w:rPr>
        <w:t xml:space="preserve">How </w:t>
      </w:r>
      <w:r w:rsidR="005903BB">
        <w:rPr>
          <w:b/>
          <w:bCs/>
          <w:sz w:val="24"/>
          <w:szCs w:val="24"/>
        </w:rPr>
        <w:t>Visualizations</w:t>
      </w:r>
      <w:r>
        <w:rPr>
          <w:b/>
          <w:bCs/>
          <w:sz w:val="24"/>
          <w:szCs w:val="24"/>
        </w:rPr>
        <w:t xml:space="preserve"> Support These Conclusions</w:t>
      </w:r>
    </w:p>
    <w:p w14:paraId="16993E92" w14:textId="3E002935" w:rsidR="00E17072" w:rsidRDefault="00000000">
      <w:pPr>
        <w:spacing w:line="480" w:lineRule="auto"/>
        <w:ind w:firstLine="720"/>
      </w:pPr>
      <w:r>
        <w:rPr>
          <w:sz w:val="24"/>
          <w:szCs w:val="24"/>
        </w:rPr>
        <w:t xml:space="preserve">Each chart isolates a different piece of the same disparity. The total ridership chart establishes the </w:t>
      </w:r>
      <w:r w:rsidR="006F7D37">
        <w:rPr>
          <w:sz w:val="24"/>
          <w:szCs w:val="24"/>
        </w:rPr>
        <w:t>gap's scale</w:t>
      </w:r>
      <w:r>
        <w:rPr>
          <w:sz w:val="24"/>
          <w:szCs w:val="24"/>
        </w:rPr>
        <w:t xml:space="preserve"> in absolute terms. The mode breakdown explains part of the cause by showing King County's wider range of service types. The scatterplot then </w:t>
      </w:r>
      <w:r w:rsidR="005903BB">
        <w:rPr>
          <w:sz w:val="24"/>
          <w:szCs w:val="24"/>
        </w:rPr>
        <w:t>controls</w:t>
      </w:r>
      <w:r>
        <w:rPr>
          <w:sz w:val="24"/>
          <w:szCs w:val="24"/>
        </w:rPr>
        <w:t xml:space="preserve"> population, the most obvious alternative explanation, and shows population alone does not account for the gap: Longview's position below the implied trend points to service coverage, not just population, as a driver. Using all three together is what makes it possible to rule out population size as the sole explanation.</w:t>
      </w:r>
    </w:p>
    <w:p w14:paraId="16993E93" w14:textId="77777777" w:rsidR="00E17072" w:rsidRDefault="00000000">
      <w:pPr>
        <w:spacing w:line="480" w:lineRule="auto"/>
      </w:pPr>
      <w:r>
        <w:rPr>
          <w:b/>
          <w:bCs/>
          <w:sz w:val="24"/>
          <w:szCs w:val="24"/>
        </w:rPr>
        <w:t>Implications for Decision-Making and Strategy</w:t>
      </w:r>
    </w:p>
    <w:p w14:paraId="16993E94" w14:textId="77777777" w:rsidR="00E17072" w:rsidRDefault="00000000">
      <w:pPr>
        <w:spacing w:line="480" w:lineRule="auto"/>
        <w:ind w:firstLine="720"/>
      </w:pPr>
      <w:r>
        <w:rPr>
          <w:sz w:val="24"/>
          <w:szCs w:val="24"/>
        </w:rPr>
        <w:lastRenderedPageBreak/>
        <w:t>These findings support an equity-focused strategy that directs resources toward smaller, underserved areas like Longview rather than assuming investment should simply follow population density. Continuing to focus advocacy on already well-served systems like King County's would do little to close the access gap. Instead, the data supports pushing for expanded route coverage, increased frequency, or additional mode options in smaller communities, where the shortfall between population and ridership is most pronounced, giving the nonprofit an evidence-based case to bring to policymakers and funders for equitable, not just proportional, transit investment.</w:t>
      </w:r>
    </w:p>
    <w:p w14:paraId="16993E95" w14:textId="77777777" w:rsidR="00E17072" w:rsidRDefault="00000000">
      <w:pPr>
        <w:spacing w:line="480" w:lineRule="auto"/>
      </w:pPr>
      <w:r>
        <w:rPr>
          <w:b/>
          <w:bCs/>
          <w:sz w:val="24"/>
          <w:szCs w:val="24"/>
        </w:rPr>
        <w:t>Importance of Data-Driven Insights</w:t>
      </w:r>
    </w:p>
    <w:p w14:paraId="16993E96" w14:textId="77777777" w:rsidR="00E17072" w:rsidRDefault="00000000">
      <w:pPr>
        <w:spacing w:line="480" w:lineRule="auto"/>
        <w:ind w:firstLine="720"/>
      </w:pPr>
      <w:r>
        <w:rPr>
          <w:sz w:val="24"/>
          <w:szCs w:val="24"/>
        </w:rPr>
        <w:t>This analysis shows why data-driven insight matters for organizations working on infrastructure and equity challenges. Without examining the data, it would be easy to assume lower ridership in smaller communities simply reflects lower demand and that current service levels are already adequate. Comparing ridership against population directly challenged that assumption and surfaced a specific, actionable disparity. Data-driven analysis lets a nonprofit move from general impressions to a concrete, evidence-based case for where intervention would have the greatest impact, essential for persuading funders and transit agencies who expect claims to be backed by evidence rather than assumption.</w:t>
      </w:r>
    </w:p>
    <w:sectPr w:rsidR="00E170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752F"/>
    <w:multiLevelType w:val="hybridMultilevel"/>
    <w:tmpl w:val="542C7044"/>
    <w:lvl w:ilvl="0" w:tplc="735ADA88">
      <w:start w:val="1"/>
      <w:numFmt w:val="bullet"/>
      <w:lvlText w:val="●"/>
      <w:lvlJc w:val="left"/>
      <w:pPr>
        <w:ind w:left="720" w:hanging="360"/>
      </w:pPr>
    </w:lvl>
    <w:lvl w:ilvl="1" w:tplc="235CCEE2">
      <w:start w:val="1"/>
      <w:numFmt w:val="bullet"/>
      <w:lvlText w:val="○"/>
      <w:lvlJc w:val="left"/>
      <w:pPr>
        <w:ind w:left="1440" w:hanging="360"/>
      </w:pPr>
    </w:lvl>
    <w:lvl w:ilvl="2" w:tplc="38520DC2">
      <w:start w:val="1"/>
      <w:numFmt w:val="bullet"/>
      <w:lvlText w:val="■"/>
      <w:lvlJc w:val="left"/>
      <w:pPr>
        <w:ind w:left="2160" w:hanging="360"/>
      </w:pPr>
    </w:lvl>
    <w:lvl w:ilvl="3" w:tplc="18829812">
      <w:start w:val="1"/>
      <w:numFmt w:val="bullet"/>
      <w:lvlText w:val="●"/>
      <w:lvlJc w:val="left"/>
      <w:pPr>
        <w:ind w:left="2880" w:hanging="360"/>
      </w:pPr>
    </w:lvl>
    <w:lvl w:ilvl="4" w:tplc="51BE5F80">
      <w:start w:val="1"/>
      <w:numFmt w:val="bullet"/>
      <w:lvlText w:val="○"/>
      <w:lvlJc w:val="left"/>
      <w:pPr>
        <w:ind w:left="3600" w:hanging="360"/>
      </w:pPr>
    </w:lvl>
    <w:lvl w:ilvl="5" w:tplc="282A5076">
      <w:start w:val="1"/>
      <w:numFmt w:val="bullet"/>
      <w:lvlText w:val="■"/>
      <w:lvlJc w:val="left"/>
      <w:pPr>
        <w:ind w:left="4320" w:hanging="360"/>
      </w:pPr>
    </w:lvl>
    <w:lvl w:ilvl="6" w:tplc="2F82EBA6">
      <w:start w:val="1"/>
      <w:numFmt w:val="bullet"/>
      <w:lvlText w:val="●"/>
      <w:lvlJc w:val="left"/>
      <w:pPr>
        <w:ind w:left="5040" w:hanging="360"/>
      </w:pPr>
    </w:lvl>
    <w:lvl w:ilvl="7" w:tplc="BFD857C2">
      <w:start w:val="1"/>
      <w:numFmt w:val="bullet"/>
      <w:lvlText w:val="●"/>
      <w:lvlJc w:val="left"/>
      <w:pPr>
        <w:ind w:left="5760" w:hanging="360"/>
      </w:pPr>
    </w:lvl>
    <w:lvl w:ilvl="8" w:tplc="336ABB6A">
      <w:start w:val="1"/>
      <w:numFmt w:val="bullet"/>
      <w:lvlText w:val="●"/>
      <w:lvlJc w:val="left"/>
      <w:pPr>
        <w:ind w:left="6480" w:hanging="360"/>
      </w:pPr>
    </w:lvl>
  </w:abstractNum>
  <w:num w:numId="1" w16cid:durableId="1348553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072"/>
    <w:rsid w:val="005903BB"/>
    <w:rsid w:val="006F7D37"/>
    <w:rsid w:val="0096177F"/>
    <w:rsid w:val="00E17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3E85"/>
  <w15:docId w15:val="{F8780D06-1589-48F0-869E-6DB76318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3</cp:revision>
  <dcterms:created xsi:type="dcterms:W3CDTF">2026-08-20T17:19:00Z</dcterms:created>
  <dcterms:modified xsi:type="dcterms:W3CDTF">2026-08-20T17:29:00Z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01a2f55b-251a-45c5-a97d-4607ac8dc696</vt:lpwstr>
  </property>
</Properties>
</file>