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78B66" w14:textId="77777777" w:rsidR="0010549C" w:rsidRDefault="00000000">
      <w:pPr>
        <w:spacing w:line="480" w:lineRule="auto"/>
        <w:jc w:val="center"/>
      </w:pPr>
      <w:r>
        <w:rPr>
          <w:b/>
          <w:bCs/>
          <w:sz w:val="24"/>
          <w:szCs w:val="24"/>
        </w:rPr>
        <w:t>Module Six Activity: Reflection</w:t>
      </w:r>
    </w:p>
    <w:p w14:paraId="20478B67" w14:textId="77777777" w:rsidR="0010549C" w:rsidRDefault="00000000">
      <w:pPr>
        <w:spacing w:line="480" w:lineRule="auto"/>
        <w:jc w:val="center"/>
      </w:pPr>
      <w:r>
        <w:rPr>
          <w:b/>
          <w:bCs/>
          <w:sz w:val="24"/>
          <w:szCs w:val="24"/>
        </w:rPr>
        <w:t>Spencer Previlon</w:t>
      </w:r>
    </w:p>
    <w:p w14:paraId="20478B68" w14:textId="77777777" w:rsidR="0010549C" w:rsidRDefault="00000000">
      <w:pPr>
        <w:spacing w:line="480" w:lineRule="auto"/>
        <w:jc w:val="center"/>
      </w:pPr>
      <w:r>
        <w:rPr>
          <w:sz w:val="24"/>
          <w:szCs w:val="24"/>
        </w:rPr>
        <w:t>Southern New Hampshire University</w:t>
      </w:r>
    </w:p>
    <w:p w14:paraId="20478B69" w14:textId="77777777" w:rsidR="0010549C" w:rsidRDefault="00000000">
      <w:pPr>
        <w:spacing w:before="240" w:after="120" w:line="480" w:lineRule="auto"/>
      </w:pPr>
      <w:r>
        <w:rPr>
          <w:b/>
          <w:bCs/>
          <w:sz w:val="24"/>
          <w:szCs w:val="24"/>
        </w:rPr>
        <w:t>Design Choices and Their Impact on Clarity</w:t>
      </w:r>
    </w:p>
    <w:p w14:paraId="20478B6A" w14:textId="13ABB378" w:rsidR="0010549C" w:rsidRDefault="00AB54C0">
      <w:pPr>
        <w:spacing w:line="480" w:lineRule="auto"/>
        <w:ind w:firstLine="720"/>
        <w:jc w:val="both"/>
      </w:pPr>
      <w:r>
        <w:rPr>
          <w:sz w:val="24"/>
          <w:szCs w:val="24"/>
        </w:rPr>
        <w:t>The dashboard was built around a single dataset, the Our World in Data COVID-19 total deaths file, so every visualization in Parts Two through Four told a connected story rather than a series of disconnected examples. Reusing the same top-country selections and color logic across the static, interactive, and animated charts lets a viewer build a mental model once and reuse it, rather than re-learning what colors and axes mean on each new chart.</w:t>
      </w:r>
    </w:p>
    <w:p w14:paraId="20478B6B" w14:textId="6B0C786B" w:rsidR="0010549C" w:rsidRDefault="00AB54C0">
      <w:pPr>
        <w:spacing w:line="480" w:lineRule="auto"/>
        <w:ind w:firstLine="720"/>
        <w:jc w:val="both"/>
      </w:pPr>
      <w:r>
        <w:rPr>
          <w:sz w:val="24"/>
          <w:szCs w:val="24"/>
        </w:rPr>
        <w:t>For the static visualizations in Part Two, I used a diverging colormap (</w:t>
      </w:r>
      <w:r w:rsidR="00AD187B">
        <w:rPr>
          <w:sz w:val="24"/>
          <w:szCs w:val="24"/>
        </w:rPr>
        <w:t>cool warm</w:t>
      </w:r>
      <w:r>
        <w:rPr>
          <w:sz w:val="24"/>
          <w:szCs w:val="24"/>
        </w:rPr>
        <w:t>) for the correlation heatmap because the data has a natural midpoint at zero correlation, making it immediately clear which countries moved together versus independently. The ranked bar chart used a sequential, perceptually uniform palette (viridis) to match the comparison being made, while the time series used a single strong accent color plus an annotation marking the global peak, since a single trend line only needs one unambiguous color.</w:t>
      </w:r>
    </w:p>
    <w:p w14:paraId="20478B6C" w14:textId="29D9EA23" w:rsidR="0010549C" w:rsidRDefault="00000000">
      <w:pPr>
        <w:spacing w:line="480" w:lineRule="auto"/>
        <w:ind w:firstLine="720"/>
        <w:jc w:val="both"/>
      </w:pPr>
      <w:r>
        <w:rPr>
          <w:sz w:val="24"/>
          <w:szCs w:val="24"/>
        </w:rPr>
        <w:t xml:space="preserve">In Part Three, I added hover tooltips with custom </w:t>
      </w:r>
      <w:r w:rsidR="00AD187B">
        <w:rPr>
          <w:sz w:val="24"/>
          <w:szCs w:val="24"/>
        </w:rPr>
        <w:t>hover template</w:t>
      </w:r>
      <w:r>
        <w:rPr>
          <w:sz w:val="24"/>
          <w:szCs w:val="24"/>
        </w:rPr>
        <w:t xml:space="preserve"> strings on </w:t>
      </w:r>
      <w:r w:rsidR="00AD187B">
        <w:rPr>
          <w:sz w:val="24"/>
          <w:szCs w:val="24"/>
        </w:rPr>
        <w:t>all</w:t>
      </w:r>
      <w:r>
        <w:rPr>
          <w:sz w:val="24"/>
          <w:szCs w:val="24"/>
        </w:rPr>
        <w:t xml:space="preserve"> trace so raw numeric values are available on demand without cluttering the chart with permanent labels. This keeps the default view clean while still giving viewers precision when they investigate further, directly supporting the multi-level exploration approach described in the assignment: broad summaries down to specific data points.</w:t>
      </w:r>
    </w:p>
    <w:p w14:paraId="20478B6D" w14:textId="5C498816" w:rsidR="0010549C" w:rsidRDefault="00000000">
      <w:pPr>
        <w:spacing w:line="480" w:lineRule="auto"/>
        <w:ind w:firstLine="720"/>
        <w:jc w:val="both"/>
      </w:pPr>
      <w:r>
        <w:rPr>
          <w:sz w:val="24"/>
          <w:szCs w:val="24"/>
        </w:rPr>
        <w:t xml:space="preserve">The most important design decision came in Part Four, when I switched from summing each country's daily values to taking the maximum value per country to </w:t>
      </w:r>
      <w:r w:rsidR="00AD187B">
        <w:rPr>
          <w:sz w:val="24"/>
          <w:szCs w:val="24"/>
        </w:rPr>
        <w:t>rank in</w:t>
      </w:r>
      <w:r>
        <w:rPr>
          <w:sz w:val="24"/>
          <w:szCs w:val="24"/>
        </w:rPr>
        <w:t xml:space="preserve"> the top ten. The </w:t>
      </w:r>
      <w:r w:rsidR="00AD187B">
        <w:rPr>
          <w:sz w:val="24"/>
          <w:szCs w:val="24"/>
        </w:rPr>
        <w:t>total deaths</w:t>
      </w:r>
      <w:r>
        <w:rPr>
          <w:sz w:val="24"/>
          <w:szCs w:val="24"/>
        </w:rPr>
        <w:t xml:space="preserve"> field is cumulative, so summing it across all dates would have wildly overstated each </w:t>
      </w:r>
      <w:r>
        <w:rPr>
          <w:sz w:val="24"/>
          <w:szCs w:val="24"/>
        </w:rPr>
        <w:lastRenderedPageBreak/>
        <w:t xml:space="preserve">country's total and produced a meaningless ranking. Recognizing that the data was cumulative, and adjusting the ranking </w:t>
      </w:r>
      <w:r w:rsidR="00AD187B">
        <w:rPr>
          <w:sz w:val="24"/>
          <w:szCs w:val="24"/>
        </w:rPr>
        <w:t>logic,</w:t>
      </w:r>
      <w:r>
        <w:rPr>
          <w:sz w:val="24"/>
          <w:szCs w:val="24"/>
        </w:rPr>
        <w:t xml:space="preserve"> accordingly, was necessary for the animation to be accurate rather than merely functional.</w:t>
      </w:r>
    </w:p>
    <w:p w14:paraId="20478B6E" w14:textId="77777777" w:rsidR="0010549C" w:rsidRDefault="00000000">
      <w:pPr>
        <w:spacing w:before="240" w:after="120" w:line="480" w:lineRule="auto"/>
      </w:pPr>
      <w:r>
        <w:rPr>
          <w:b/>
          <w:bCs/>
          <w:sz w:val="24"/>
          <w:szCs w:val="24"/>
        </w:rPr>
        <w:t>Challenges in Implementing Interactivity and Animation</w:t>
      </w:r>
    </w:p>
    <w:p w14:paraId="20478B6F" w14:textId="0D86A45D" w:rsidR="0010549C" w:rsidRDefault="00000000">
      <w:pPr>
        <w:spacing w:line="480" w:lineRule="auto"/>
        <w:ind w:firstLine="720"/>
        <w:jc w:val="both"/>
      </w:pPr>
      <w:r>
        <w:rPr>
          <w:sz w:val="24"/>
          <w:szCs w:val="24"/>
        </w:rPr>
        <w:t xml:space="preserve">The first challenge was an execution-order issue: because Jupyter cells can be run independently, I ran a data-loading cell before the package-import cell had executed in that kernel session, producing a </w:t>
      </w:r>
      <w:proofErr w:type="spellStart"/>
      <w:r w:rsidR="00CE263F">
        <w:rPr>
          <w:sz w:val="24"/>
          <w:szCs w:val="24"/>
        </w:rPr>
        <w:t>NameError</w:t>
      </w:r>
      <w:proofErr w:type="spellEnd"/>
      <w:r>
        <w:rPr>
          <w:sz w:val="24"/>
          <w:szCs w:val="24"/>
        </w:rPr>
        <w:t xml:space="preserve"> for undefined variables such as pd and df. I addressed it by restarting the kernel and running all cells top to bottom, which reinforced why Kernel &gt; Restart &amp; Run All is a required verification step rather than a formality: it is the only way to guarantee the notebook is reproducible from a clean state.</w:t>
      </w:r>
    </w:p>
    <w:p w14:paraId="20478B70" w14:textId="77777777" w:rsidR="0010549C" w:rsidRDefault="00000000">
      <w:pPr>
        <w:spacing w:line="480" w:lineRule="auto"/>
        <w:ind w:firstLine="720"/>
        <w:jc w:val="both"/>
      </w:pPr>
      <w:r>
        <w:rPr>
          <w:sz w:val="24"/>
          <w:szCs w:val="24"/>
        </w:rPr>
        <w:t xml:space="preserve">The second challenge was a missing import: the heatmap function used the </w:t>
      </w:r>
      <w:proofErr w:type="spellStart"/>
      <w:r>
        <w:rPr>
          <w:sz w:val="24"/>
          <w:szCs w:val="24"/>
        </w:rPr>
        <w:t>os</w:t>
      </w:r>
      <w:proofErr w:type="spellEnd"/>
      <w:r>
        <w:rPr>
          <w:sz w:val="24"/>
          <w:szCs w:val="24"/>
        </w:rPr>
        <w:t xml:space="preserve"> module to create an output folder and save PNG files, but </w:t>
      </w:r>
      <w:proofErr w:type="spellStart"/>
      <w:r>
        <w:rPr>
          <w:sz w:val="24"/>
          <w:szCs w:val="24"/>
        </w:rPr>
        <w:t>os</w:t>
      </w:r>
      <w:proofErr w:type="spellEnd"/>
      <w:r>
        <w:rPr>
          <w:sz w:val="24"/>
          <w:szCs w:val="24"/>
        </w:rPr>
        <w:t xml:space="preserve"> had not been imported at the top of the notebook. The traceback pointed directly to the failing line, so I addressed it by adding the import and re-running the affected cells in order.</w:t>
      </w:r>
    </w:p>
    <w:p w14:paraId="20478B71" w14:textId="26DABDA9" w:rsidR="0010549C" w:rsidRDefault="00000000">
      <w:pPr>
        <w:spacing w:line="480" w:lineRule="auto"/>
        <w:ind w:firstLine="720"/>
        <w:jc w:val="both"/>
      </w:pPr>
      <w:r>
        <w:rPr>
          <w:sz w:val="24"/>
          <w:szCs w:val="24"/>
        </w:rPr>
        <w:t xml:space="preserve">The most significant challenge was performance and file size in the Matplotlib animation. Even after downsampling to a weekly frequency, the animation was slow to render, and once built, Matplotlib warned that the embedded animation exceeded its default 20MB size limit and would silently drop frames rather than fail outright. This was a subtle problem, since the animation appeared to work while the exported HTML could have silently contained a truncated version. I addressed it by raising the </w:t>
      </w:r>
      <w:r w:rsidR="00CE7562">
        <w:rPr>
          <w:sz w:val="24"/>
          <w:szCs w:val="24"/>
        </w:rPr>
        <w:t>animation.embed</w:t>
      </w:r>
      <w:r>
        <w:rPr>
          <w:sz w:val="24"/>
          <w:szCs w:val="24"/>
        </w:rPr>
        <w:t>_limit rcParameter to 50MB before building the animation, then restarting the kernel and running all cells again, and manually confirming the warning no longer appeared.</w:t>
      </w:r>
    </w:p>
    <w:p w14:paraId="20478B72" w14:textId="77777777" w:rsidR="0010549C" w:rsidRDefault="00000000">
      <w:pPr>
        <w:spacing w:before="240" w:after="120" w:line="480" w:lineRule="auto"/>
      </w:pPr>
      <w:r>
        <w:rPr>
          <w:b/>
          <w:bCs/>
          <w:sz w:val="24"/>
          <w:szCs w:val="24"/>
        </w:rPr>
        <w:lastRenderedPageBreak/>
        <w:t>Accessibility and Cognitive Load Considerations</w:t>
      </w:r>
    </w:p>
    <w:p w14:paraId="20478B73" w14:textId="77777777" w:rsidR="0010549C" w:rsidRDefault="00000000">
      <w:pPr>
        <w:spacing w:line="480" w:lineRule="auto"/>
        <w:ind w:firstLine="720"/>
        <w:jc w:val="both"/>
      </w:pPr>
      <w:r>
        <w:rPr>
          <w:sz w:val="24"/>
          <w:szCs w:val="24"/>
        </w:rPr>
        <w:t xml:space="preserve">Several choices managed cognitive load directly. Rather than plotting every country, each visualization filters to a meaningful top-N subset, the top 10 for the heatmap and animation, the top 20 for the bar chart, and the top 5 for the </w:t>
      </w:r>
      <w:proofErr w:type="spellStart"/>
      <w:r>
        <w:rPr>
          <w:sz w:val="24"/>
          <w:szCs w:val="24"/>
        </w:rPr>
        <w:t>overview+detail</w:t>
      </w:r>
      <w:proofErr w:type="spellEnd"/>
      <w:r>
        <w:rPr>
          <w:sz w:val="24"/>
          <w:szCs w:val="24"/>
        </w:rPr>
        <w:t xml:space="preserve"> chart, so the viewer is never confronted with dozens of overlapping series at once. The </w:t>
      </w:r>
      <w:proofErr w:type="spellStart"/>
      <w:r>
        <w:rPr>
          <w:sz w:val="24"/>
          <w:szCs w:val="24"/>
        </w:rPr>
        <w:t>overview+detail</w:t>
      </w:r>
      <w:proofErr w:type="spellEnd"/>
      <w:r>
        <w:rPr>
          <w:sz w:val="24"/>
          <w:szCs w:val="24"/>
        </w:rPr>
        <w:t xml:space="preserve"> chart pairs a small, low-detail global summary with a larger, focused detail view of the top 5 countries, letting a viewer see the big picture and drill into specifics without the two levels of detail competing for attention.</w:t>
      </w:r>
    </w:p>
    <w:p w14:paraId="20478B74" w14:textId="643FBA0A" w:rsidR="0010549C" w:rsidRDefault="00000000">
      <w:pPr>
        <w:spacing w:line="480" w:lineRule="auto"/>
        <w:ind w:firstLine="720"/>
        <w:jc w:val="both"/>
      </w:pPr>
      <w:r>
        <w:rPr>
          <w:sz w:val="24"/>
          <w:szCs w:val="24"/>
        </w:rPr>
        <w:t>For accessibility, I relied on colorblind-conscious, perceptually uniform palettes (</w:t>
      </w:r>
      <w:proofErr w:type="spellStart"/>
      <w:r>
        <w:rPr>
          <w:sz w:val="24"/>
          <w:szCs w:val="24"/>
        </w:rPr>
        <w:t>coolwarm</w:t>
      </w:r>
      <w:proofErr w:type="spellEnd"/>
      <w:r>
        <w:rPr>
          <w:sz w:val="24"/>
          <w:szCs w:val="24"/>
        </w:rPr>
        <w:t xml:space="preserve">, viridis) rather than color alone to distinguish data, and every chart carries redundant text encoding through legends, direct labels, titles, and hover tooltips so information is never conveyed through color alone. The interactive elements </w:t>
      </w:r>
      <w:r w:rsidR="00F56981">
        <w:rPr>
          <w:sz w:val="24"/>
          <w:szCs w:val="24"/>
        </w:rPr>
        <w:t xml:space="preserve">serve the same goal: the drill-down chart's range slider and the </w:t>
      </w:r>
      <w:proofErr w:type="spellStart"/>
      <w:r w:rsidR="00F56981">
        <w:rPr>
          <w:sz w:val="24"/>
          <w:szCs w:val="24"/>
        </w:rPr>
        <w:t>overview+detail</w:t>
      </w:r>
      <w:proofErr w:type="spellEnd"/>
      <w:r w:rsidR="00F56981">
        <w:rPr>
          <w:sz w:val="24"/>
          <w:szCs w:val="24"/>
        </w:rPr>
        <w:t xml:space="preserve"> chart's country-filter dropdown let a viewer narrow the view to </w:t>
      </w:r>
      <w:r>
        <w:rPr>
          <w:sz w:val="24"/>
          <w:szCs w:val="24"/>
        </w:rPr>
        <w:t>the data they care about, reducing clutter on demand rather than forcing all of it to be parsed at once. Across the dashboard, default views stay simple and high-level, while detail is made available through interaction rather than imposed up front.</w:t>
      </w:r>
    </w:p>
    <w:sectPr w:rsidR="001054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A7AA0"/>
    <w:multiLevelType w:val="hybridMultilevel"/>
    <w:tmpl w:val="615EB732"/>
    <w:lvl w:ilvl="0" w:tplc="68C0FCB6">
      <w:start w:val="1"/>
      <w:numFmt w:val="bullet"/>
      <w:lvlText w:val="●"/>
      <w:lvlJc w:val="left"/>
      <w:pPr>
        <w:ind w:left="720" w:hanging="360"/>
      </w:pPr>
    </w:lvl>
    <w:lvl w:ilvl="1" w:tplc="5B78761A">
      <w:start w:val="1"/>
      <w:numFmt w:val="bullet"/>
      <w:lvlText w:val="○"/>
      <w:lvlJc w:val="left"/>
      <w:pPr>
        <w:ind w:left="1440" w:hanging="360"/>
      </w:pPr>
    </w:lvl>
    <w:lvl w:ilvl="2" w:tplc="2612C68A">
      <w:start w:val="1"/>
      <w:numFmt w:val="bullet"/>
      <w:lvlText w:val="■"/>
      <w:lvlJc w:val="left"/>
      <w:pPr>
        <w:ind w:left="2160" w:hanging="360"/>
      </w:pPr>
    </w:lvl>
    <w:lvl w:ilvl="3" w:tplc="19CC1E9C">
      <w:start w:val="1"/>
      <w:numFmt w:val="bullet"/>
      <w:lvlText w:val="●"/>
      <w:lvlJc w:val="left"/>
      <w:pPr>
        <w:ind w:left="2880" w:hanging="360"/>
      </w:pPr>
    </w:lvl>
    <w:lvl w:ilvl="4" w:tplc="C1C68592">
      <w:start w:val="1"/>
      <w:numFmt w:val="bullet"/>
      <w:lvlText w:val="○"/>
      <w:lvlJc w:val="left"/>
      <w:pPr>
        <w:ind w:left="3600" w:hanging="360"/>
      </w:pPr>
    </w:lvl>
    <w:lvl w:ilvl="5" w:tplc="C5C8041C">
      <w:start w:val="1"/>
      <w:numFmt w:val="bullet"/>
      <w:lvlText w:val="■"/>
      <w:lvlJc w:val="left"/>
      <w:pPr>
        <w:ind w:left="4320" w:hanging="360"/>
      </w:pPr>
    </w:lvl>
    <w:lvl w:ilvl="6" w:tplc="0FB4B396">
      <w:start w:val="1"/>
      <w:numFmt w:val="bullet"/>
      <w:lvlText w:val="●"/>
      <w:lvlJc w:val="left"/>
      <w:pPr>
        <w:ind w:left="5040" w:hanging="360"/>
      </w:pPr>
    </w:lvl>
    <w:lvl w:ilvl="7" w:tplc="0DFCDB6A">
      <w:start w:val="1"/>
      <w:numFmt w:val="bullet"/>
      <w:lvlText w:val="●"/>
      <w:lvlJc w:val="left"/>
      <w:pPr>
        <w:ind w:left="5760" w:hanging="360"/>
      </w:pPr>
    </w:lvl>
    <w:lvl w:ilvl="8" w:tplc="302A381E">
      <w:start w:val="1"/>
      <w:numFmt w:val="bullet"/>
      <w:lvlText w:val="●"/>
      <w:lvlJc w:val="left"/>
      <w:pPr>
        <w:ind w:left="6480" w:hanging="360"/>
      </w:pPr>
    </w:lvl>
  </w:abstractNum>
  <w:num w:numId="1" w16cid:durableId="854805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49C"/>
    <w:rsid w:val="0010549C"/>
    <w:rsid w:val="00636A97"/>
    <w:rsid w:val="00AB54C0"/>
    <w:rsid w:val="00AD187B"/>
    <w:rsid w:val="00CE263F"/>
    <w:rsid w:val="00CE7562"/>
    <w:rsid w:val="00F56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78B66"/>
  <w15:docId w15:val="{B48ABE06-907C-49A4-BEAF-9C0915DB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Spencer Previlon</cp:lastModifiedBy>
  <cp:revision>6</cp:revision>
  <dcterms:created xsi:type="dcterms:W3CDTF">2026-08-19T16:37:00Z</dcterms:created>
  <dcterms:modified xsi:type="dcterms:W3CDTF">2026-08-19T16:47:00Z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76d6cd8f-5c2e-41fa-9888-bc4edb2a0375</vt:lpwstr>
  </property>
</Properties>
</file>