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gemis.tech Page Briefs — AI Advantage, Express, Education Excellence</w:t>
      </w:r>
    </w:p>
    <w:p>
      <w:pPr/>
      <w:r>
        <w:t xml:space="preserve">Oct 24, 2026</w:t>
      </w:r>
      <w:r>
        <w:t xml:space="preserve"> · </w:t>
      </w:r>
      <w:r>
        <w:t xml:space="preserve">@Gem Information Systems</w:t>
      </w:r>
    </w:p>
    <w:p>
      <w:pPr>
        <w:pStyle w:val="Heading2"/>
      </w:pPr>
      <w:r>
        <w:t xml:space="preserve">Overview and shared site context</w:t>
      </w:r>
    </w:p>
    <w:p>
      <w:pPr/>
      <w:r>
        <w:t xml:space="preserve">Three live pages on gemis.tech sell the Academy's three main public offers: an in-person 2-day retreat for individuals (R5,999), a 4-hour live online session (R1,249), and on-site AI training for schools (R5,999 to R189,999). All prices are excl. VAT. Content below was captured from the live pages on 24 October 2026; the final section lists the inconsistencies found.</w:t>
      </w:r>
    </w:p>
    <w:tbl>
      <w:tblPr>
        <w:tblStyle w:val="TableGrid"/>
        <w:tblW w:w="0" w:type="auto"/>
        <w:tblLayout w:type="fixed"/>
        <w:tblLook w:val="04A0" w:firstRow="1" w:lastRow="0" w:firstColumn="0" w:lastColumn="0" w:noHBand="0" w:noVBand="1"/>
      </w:tblPr>
      <w:tblGrid>
        <w:gridCol w:w="1384"/>
        <w:gridCol w:w="1464"/>
        <w:gridCol w:w="1560"/>
        <w:gridCol w:w="1963"/>
        <w:gridCol w:w="1491"/>
        <w:gridCol w:w="1497"/>
      </w:tblGrid>
      <w:tr>
        <w:trPr>
          <w:tblHeader/>
        </w:trPr>
        <w:tc>
          <w:tcPr>
            <w:tcW w:w="1384" w:type="dxa"/>
            <w:shd w:val="clear" w:color="auto" w:fill="F2F2F2"/>
          </w:tcPr>
          <w:p>
            <w:pPr/>
            <w:r>
              <w:t xml:space="preserve">Page</w:t>
            </w:r>
          </w:p>
        </w:tc>
        <w:tc>
          <w:tcPr>
            <w:tcW w:w="1464" w:type="dxa"/>
            <w:shd w:val="clear" w:color="auto" w:fill="F2F2F2"/>
          </w:tcPr>
          <w:p>
            <w:pPr/>
            <w:r>
              <w:t xml:space="preserve">URL</w:t>
            </w:r>
          </w:p>
        </w:tc>
        <w:tc>
          <w:tcPr>
            <w:tcW w:w="1560" w:type="dxa"/>
            <w:shd w:val="clear" w:color="auto" w:fill="F2F2F2"/>
          </w:tcPr>
          <w:p>
            <w:pPr/>
            <w:r>
              <w:t xml:space="preserve">Product</w:t>
            </w:r>
          </w:p>
        </w:tc>
        <w:tc>
          <w:tcPr>
            <w:tcW w:w="1963" w:type="dxa"/>
            <w:shd w:val="clear" w:color="auto" w:fill="F2F2F2"/>
          </w:tcPr>
          <w:p>
            <w:pPr/>
            <w:r>
              <w:t xml:space="preserve">Buyer</w:t>
            </w:r>
          </w:p>
        </w:tc>
        <w:tc>
          <w:tcPr>
            <w:tcW w:w="1491" w:type="dxa"/>
            <w:shd w:val="clear" w:color="auto" w:fill="F2F2F2"/>
          </w:tcPr>
          <w:p>
            <w:pPr/>
            <w:r>
              <w:t xml:space="preserve">Entry price (excl. VAT)</w:t>
            </w:r>
          </w:p>
        </w:tc>
        <w:tc>
          <w:tcPr>
            <w:tcW w:w="1497" w:type="dxa"/>
            <w:shd w:val="clear" w:color="auto" w:fill="F2F2F2"/>
          </w:tcPr>
          <w:p>
            <w:pPr/>
            <w:r>
              <w:t xml:space="preserve">Primary CTA</w:t>
            </w:r>
          </w:p>
        </w:tc>
      </w:tr>
      <w:tr>
        <w:tc>
          <w:tcPr>
            <w:tcW w:w="1384" w:type="dxa"/>
          </w:tcPr>
          <w:p>
            <w:pPr/>
            <w:r>
              <w:t xml:space="preserve">AI Advantage</w:t>
            </w:r>
          </w:p>
        </w:tc>
        <w:tc>
          <w:tcPr>
            <w:tcW w:w="1464" w:type="dxa"/>
          </w:tcPr>
          <w:p>
            <w:pPr/>
            <w:hyperlink r:id="rId3" w:history="1">
              <w:r>
                <w:rPr>
                  <w:rStyle w:val="Hyperlink"/>
                </w:rPr>
                <w:t xml:space="preserve">/ai-advantage/</w:t>
              </w:r>
            </w:hyperlink>
          </w:p>
        </w:tc>
        <w:tc>
          <w:tcPr>
            <w:tcW w:w="1560" w:type="dxa"/>
          </w:tcPr>
          <w:p>
            <w:pPr/>
            <w:r>
              <w:t xml:space="preserve">AI Advantage™ 2-Day Retreat</w:t>
            </w:r>
          </w:p>
        </w:tc>
        <w:tc>
          <w:tcPr>
            <w:tcW w:w="1963" w:type="dxa"/>
          </w:tcPr>
          <w:p>
            <w:pPr/>
            <w:r>
              <w:t xml:space="preserve">Individual professionals, small teams</w:t>
            </w:r>
          </w:p>
        </w:tc>
        <w:tc>
          <w:tcPr>
            <w:tcW w:w="1491" w:type="dxa"/>
          </w:tcPr>
          <w:p>
            <w:pPr/>
            <w:r>
              <w:t xml:space="preserve">R5,999 flexible voucher</w:t>
            </w:r>
          </w:p>
        </w:tc>
        <w:tc>
          <w:tcPr>
            <w:tcW w:w="1497" w:type="dxa"/>
          </w:tcPr>
          <w:p>
            <w:pPr/>
            <w:r>
              <w:t xml:space="preserve">Buy a Flexible Voucher</w:t>
            </w:r>
          </w:p>
        </w:tc>
      </w:tr>
      <w:tr>
        <w:tc>
          <w:tcPr>
            <w:tcW w:w="1384" w:type="dxa"/>
          </w:tcPr>
          <w:p>
            <w:pPr/>
            <w:r>
              <w:t xml:space="preserve">Express</w:t>
            </w:r>
          </w:p>
        </w:tc>
        <w:tc>
          <w:tcPr>
            <w:tcW w:w="1464" w:type="dxa"/>
          </w:tcPr>
          <w:p>
            <w:pPr/>
            <w:hyperlink r:id="rId4" w:history="1">
              <w:r>
                <w:rPr>
                  <w:rStyle w:val="Hyperlink"/>
                </w:rPr>
                <w:t xml:space="preserve">/express/</w:t>
              </w:r>
            </w:hyperlink>
          </w:p>
        </w:tc>
        <w:tc>
          <w:tcPr>
            <w:tcW w:w="1560" w:type="dxa"/>
          </w:tcPr>
          <w:p>
            <w:pPr/>
            <w:r>
              <w:t xml:space="preserve">AI Advantage Express™</w:t>
            </w:r>
          </w:p>
        </w:tc>
        <w:tc>
          <w:tcPr>
            <w:tcW w:w="1963" w:type="dxa"/>
          </w:tcPr>
          <w:p>
            <w:pPr/>
            <w:r>
              <w:t xml:space="preserve">Time-poor professionals, teams</w:t>
            </w:r>
          </w:p>
        </w:tc>
        <w:tc>
          <w:tcPr>
            <w:tcW w:w="1491" w:type="dxa"/>
          </w:tcPr>
          <w:p>
            <w:pPr/>
            <w:r>
              <w:t xml:space="preserve">R1,249 founding rate</w:t>
            </w:r>
          </w:p>
        </w:tc>
        <w:tc>
          <w:tcPr>
            <w:tcW w:w="1497" w:type="dxa"/>
          </w:tcPr>
          <w:p>
            <w:pPr/>
            <w:r>
              <w:t xml:space="preserve">Buy Voucher — R1,249</w:t>
            </w:r>
          </w:p>
        </w:tc>
      </w:tr>
      <w:tr>
        <w:tc>
          <w:tcPr>
            <w:tcW w:w="1384" w:type="dxa"/>
          </w:tcPr>
          <w:p>
            <w:pPr/>
            <w:r>
              <w:t xml:space="preserve">Education Excellence</w:t>
            </w:r>
          </w:p>
        </w:tc>
        <w:tc>
          <w:tcPr>
            <w:tcW w:w="1464" w:type="dxa"/>
          </w:tcPr>
          <w:p>
            <w:pPr/>
            <w:hyperlink r:id="rId5" w:history="1">
              <w:r>
                <w:rPr>
                  <w:rStyle w:val="Hyperlink"/>
                </w:rPr>
                <w:t xml:space="preserve">/education/</w:t>
              </w:r>
            </w:hyperlink>
          </w:p>
        </w:tc>
        <w:tc>
          <w:tcPr>
            <w:tcW w:w="1560" w:type="dxa"/>
          </w:tcPr>
          <w:p>
            <w:pPr/>
            <w:r>
              <w:t xml:space="preserve">Education Excellence™</w:t>
            </w:r>
          </w:p>
        </w:tc>
        <w:tc>
          <w:tcPr>
            <w:tcW w:w="1963" w:type="dxa"/>
          </w:tcPr>
          <w:p>
            <w:pPr/>
            <w:r>
              <w:t xml:space="preserve">Schools (principals, SMTs), sponsors</w:t>
            </w:r>
          </w:p>
        </w:tc>
        <w:tc>
          <w:tcPr>
            <w:tcW w:w="1491" w:type="dxa"/>
          </w:tcPr>
          <w:p>
            <w:pPr/>
            <w:r>
              <w:t xml:space="preserve">R5,999 SPARK</w:t>
            </w:r>
          </w:p>
        </w:tc>
        <w:tc>
          <w:tcPr>
            <w:tcW w:w="1497" w:type="dxa"/>
          </w:tcPr>
          <w:p>
            <w:pPr/>
            <w:r>
              <w:t xml:space="preserve">Book a SPARK session</w:t>
            </w:r>
          </w:p>
        </w:tc>
      </w:tr>
    </w:tbl>
    <w:p>
      <w:pPr>
        <w:pStyle w:val="Heading3"/>
      </w:pPr>
      <w:r>
        <w:t xml:space="preserve">Shared elements on all three pages</w:t>
      </w:r>
    </w:p>
    <w:p>
      <w:pPr>
        <w:pStyle w:val="ListParagraph"/>
        <w:numPr>
          <w:ilvl w:val="0"/>
          <w:numId w:val="2"/>
        </w:numPr>
      </w:pPr>
      <w:r>
        <w:rPr>
          <w:b/>
        </w:rPr>
        <w:t xml:space="preserve">Header navigation:</w:t>
      </w:r>
      <w:r>
        <w:t xml:space="preserve"> Personal Training (2-Day Retreat, Online Sessions), Corporate Training (Team Training → /enterprise/, Custom Training → /myai/), For Schools, About, Insights, Contact, My Account, Cart.</w:t>
      </w:r>
    </w:p>
    <w:p>
      <w:pPr>
        <w:pStyle w:val="ListParagraph"/>
        <w:numPr>
          <w:ilvl w:val="0"/>
          <w:numId w:val="2"/>
        </w:numPr>
      </w:pPr>
      <w:r>
        <w:rPr>
          <w:b/>
        </w:rPr>
        <w:t xml:space="preserve">Footer columns:</w:t>
      </w:r>
      <w:r>
        <w:t xml:space="preserve"> Programmes (AI Advantage, Online Sessions, AI Enterprise, Education Excellence, Custom Training); Who it's for (Individual professionals, Corporate teams, Schools, L&amp;D teams &amp; training providers); Company (About, Become a Delivery Agent, Sponsor a School, Insights, Events Calendar); Shop &amp; Legal (Buy Vouchers, My Account, Privacy Policy, Terms &amp; Conditions, Data Request).</w:t>
      </w:r>
    </w:p>
    <w:p>
      <w:pPr>
        <w:pStyle w:val="ListParagraph"/>
        <w:numPr>
          <w:ilvl w:val="0"/>
          <w:numId w:val="2"/>
        </w:numPr>
      </w:pPr>
      <w:r>
        <w:rPr>
          <w:b/>
        </w:rPr>
        <w:t xml:space="preserve">Contact block:</w:t>
      </w:r>
      <w:r>
        <w:t xml:space="preserve"> 66 Park Lane, Sandown, Sandton · +27 11 219 5008 · training@gemis.tech.</w:t>
      </w:r>
    </w:p>
    <w:p>
      <w:pPr>
        <w:pStyle w:val="ListParagraph"/>
        <w:numPr>
          <w:ilvl w:val="0"/>
          <w:numId w:val="2"/>
        </w:numPr>
      </w:pPr>
      <w:r>
        <w:rPr>
          <w:b/>
        </w:rPr>
        <w:t xml:space="preserve">Legal line:</w:t>
      </w:r>
      <w:r>
        <w:t xml:space="preserve"> © 2026 GEM Information Systems (Pty) Ltd trading as GEMIS Technical Academy · "Designed by GEMIS Studio".</w:t>
      </w:r>
    </w:p>
    <w:p>
      <w:pPr>
        <w:pStyle w:val="ListParagraph"/>
        <w:numPr>
          <w:ilvl w:val="0"/>
          <w:numId w:val="2"/>
        </w:numPr>
      </w:pPr>
      <w:r>
        <w:rPr>
          <w:b/>
        </w:rPr>
        <w:t xml:space="preserve">Brand tagline:</w:t>
      </w:r>
      <w:r>
        <w:t xml:space="preserve"> Practical AI training for South African professionals, schools, and organisations.</w:t>
      </w:r>
    </w:p>
    <w:p>
      <w:pPr>
        <w:pStyle w:val="ListParagraph"/>
        <w:numPr>
          <w:ilvl w:val="0"/>
          <w:numId w:val="2"/>
        </w:numPr>
      </w:pPr>
      <w:r>
        <w:rPr>
          <w:b/>
        </w:rPr>
        <w:t xml:space="preserve">Technical:</w:t>
      </w:r>
      <w:r>
        <w:t xml:space="preserve"> WordPress + Elementor 4.3.5, theme gemis-theme-v170, locale en_ZA, theme colour #1B2A4A (navy). OG/Twitter image on every page is the generic logo (gemis-logo-512.png), not a page-specific image. OG type is "article".</w:t>
      </w:r>
    </w:p>
    <w:p>
      <w:pPr>
        <w:pStyle w:val="ListParagraph"/>
        <w:numPr>
          <w:ilvl w:val="0"/>
          <w:numId w:val="2"/>
        </w:numPr>
      </w:pPr>
      <w:r>
        <w:rPr>
          <w:b/>
        </w:rPr>
        <w:t xml:space="preserve">Recurring promises:</w:t>
      </w:r>
      <w:r>
        <w:t xml:space="preserve"> free-tier AI tools only, South African context, printed or digital certificate, 30-day LMS access (individual products), checkout via Yoco or proforma/EFT, 7-day proforma validity, VAT invoice under the GEMIS parent VAT number.</w:t>
      </w:r>
    </w:p>
    <w:p>
      <w:pPr>
        <w:pStyle w:val="Heading2"/>
      </w:pPr>
      <w:r>
        <w:t xml:space="preserve">Page 1 — AI Advantage™ 2-Day Retreat (/ai-advantage/)</w:t>
      </w:r>
    </w:p>
    <w:p>
      <w:pPr/>
      <w:r>
        <w:t xml:space="preserve">The page sells a voucher-first, in-person 2-day AI retreat for South African professionals at R5,999 excl. VAT, with dates confirmed per region only once enough vouchers sell. Its proof point is the November 2025 delivery at Jordan Wine Estate, Stellenbosch.</w:t>
      </w:r>
    </w:p>
    <w:p>
      <w:pPr>
        <w:pStyle w:val="Heading3"/>
      </w:pPr>
      <w:r>
        <w:t xml:space="preserve">Purpose and positioning</w:t>
      </w:r>
    </w:p>
    <w:p>
      <w:pPr>
        <w:pStyle w:val="ListParagraph"/>
        <w:numPr>
          <w:ilvl w:val="0"/>
          <w:numId w:val="3"/>
        </w:numPr>
      </w:pPr>
      <w:r>
        <w:rPr>
          <w:b/>
        </w:rPr>
        <w:t xml:space="preserve">Goal:</w:t>
      </w:r>
      <w:r>
        <w:t xml:space="preserve"> sell Flexible Vouchers now at the early-adopter rate; capture interest leads from people not ready to pay.</w:t>
      </w:r>
    </w:p>
    <w:p>
      <w:pPr>
        <w:pStyle w:val="ListParagraph"/>
        <w:numPr>
          <w:ilvl w:val="0"/>
          <w:numId w:val="3"/>
        </w:numPr>
      </w:pPr>
      <w:r>
        <w:rPr>
          <w:b/>
        </w:rPr>
        <w:t xml:space="preserve">Audience:</w:t>
      </w:r>
      <w:r>
        <w:t xml:space="preserve"> individual South African professionals across five role-based tracks; secondary audience is companies buying for teams.</w:t>
      </w:r>
    </w:p>
    <w:p>
      <w:pPr>
        <w:pStyle w:val="ListParagraph"/>
        <w:numPr>
          <w:ilvl w:val="0"/>
          <w:numId w:val="3"/>
        </w:numPr>
      </w:pPr>
      <w:r>
        <w:rPr>
          <w:b/>
        </w:rPr>
        <w:t xml:space="preserve">Positioning:</w:t>
      </w:r>
      <w:r>
        <w:t xml:space="preserve"> premium venue, small cohort (max 20), hands-on, no theory, free tools only, SA context throughout.</w:t>
      </w:r>
    </w:p>
    <w:p>
      <w:pPr>
        <w:pStyle w:val="ListParagraph"/>
        <w:numPr>
          <w:ilvl w:val="0"/>
          <w:numId w:val="3"/>
        </w:numPr>
      </w:pPr>
      <w:r>
        <w:rPr>
          <w:b/>
        </w:rPr>
        <w:t xml:space="preserve">SEO meta description:</w:t>
      </w:r>
      <w:r>
        <w:t xml:space="preserve"> "AI Advantage 2-Day Retreat for South African professionals. R5,999 early-adopter rate. Five tracks… Sandton venue." Page title: "AI Advantage".</w:t>
      </w:r>
    </w:p>
    <w:p>
      <w:pPr>
        <w:pStyle w:val="Heading3"/>
      </w:pPr>
      <w:r>
        <w:t xml:space="preserve">Section-by-section content</w:t>
      </w:r>
    </w:p>
    <w:p>
      <w:pPr>
        <w:pStyle w:val="ListParagraph"/>
        <w:numPr>
          <w:ilvl w:val="0"/>
          <w:numId w:val="4"/>
        </w:numPr>
      </w:pPr>
      <w:r>
        <w:rPr>
          <w:b/>
        </w:rPr>
        <w:t xml:space="preserve">Hero.</w:t>
      </w:r>
      <w:r>
        <w:t xml:space="preserve"> Eyebrow: "A Two-Day AI Retreat for South African Professionals". H1: "Two days that change how you work with AI." Sub: five themed retreats, twelve hands-on activities, free tools only, top-tier venues including Jordan Wine Estate. Price line: R5,999 excl. VAT early-adopter; standard R8,999 once cohort dates are confirmed, "the lowest price AI Advantage™ will ever be". CTAs: Buy a Flexible Voucher (#purchase), Choose Your Retreat (#retreats). Regions: Cape Town · Stellenbosch · Johannesburg. Image: Jordan Wine Estate dam with mountain view.</w:t>
      </w:r>
    </w:p>
    <w:p>
      <w:pPr>
        <w:pStyle w:val="ListParagraph"/>
        <w:numPr>
          <w:ilvl w:val="0"/>
          <w:numId w:val="4"/>
        </w:numPr>
      </w:pPr>
      <w:r>
        <w:rPr>
          <w:b/>
        </w:rPr>
        <w:t xml:space="preserve">Early-adopter banner</w:t>
      </w:r>
      <w:r>
        <w:t xml:space="preserve"> repeating the R5,999 / R8,999 message, with a "See voucher terms" link.</w:t>
      </w:r>
    </w:p>
    <w:p>
      <w:pPr>
        <w:pStyle w:val="ListParagraph"/>
        <w:numPr>
          <w:ilvl w:val="0"/>
          <w:numId w:val="4"/>
        </w:numPr>
      </w:pPr>
      <w:r>
        <w:rPr>
          <w:b/>
        </w:rPr>
        <w:t xml:space="preserve">Stats strip:</w:t>
      </w:r>
      <w:r>
        <w:t xml:space="preserve"> 2 days · 12 hands-on activities · 5 themed retreats · 20 max participants · free tools only.</w:t>
      </w:r>
    </w:p>
    <w:p>
      <w:pPr>
        <w:pStyle w:val="ListParagraph"/>
        <w:numPr>
          <w:ilvl w:val="0"/>
          <w:numId w:val="4"/>
        </w:numPr>
      </w:pPr>
      <w:r>
        <w:rPr>
          <w:b/>
        </w:rPr>
        <w:t xml:space="preserve">Case study (November 2025).</w:t>
      </w:r>
      <w:r>
        <w:t xml:space="preserve"> Unattributed quote: the setting matched the substance; attendees still use the workflows weekly. Heading: "We ran it at Jordan Wine Estate." Body: first retreat, two full days, twelve activities, business leaders "arrived curious and left fluent". Stats: 2 days at the estate, 12 activities completed, 100% free-tier tools. Expansion note: opening in Cape Town, Stellenbosch and Johannesburg; each region launches once enough register; at least two weeks' notice.</w:t>
      </w:r>
    </w:p>
    <w:p>
      <w:pPr>
        <w:pStyle w:val="ListParagraph"/>
        <w:numPr>
          <w:ilvl w:val="0"/>
          <w:numId w:val="4"/>
        </w:numPr>
      </w:pPr>
      <w:r>
        <w:rPr>
          <w:b/>
        </w:rPr>
        <w:t xml:space="preserve">Choose Your Retreat</w:t>
      </w:r>
      <w:r>
        <w:t xml:space="preserve"> — five tracks, same two-day arc, different scenarios and case material (table below), plus a "Not sure?" Flexible Voucher card (choose later, valid 90 days).</w:t>
      </w:r>
    </w:p>
    <w:p>
      <w:pPr>
        <w:pStyle w:val="ListParagraph"/>
        <w:numPr>
          <w:ilvl w:val="0"/>
          <w:numId w:val="4"/>
        </w:numPr>
      </w:pPr>
      <w:r>
        <w:rPr>
          <w:b/>
        </w:rPr>
        <w:t xml:space="preserve">The Two-Day Arc.</w:t>
      </w:r>
      <w:r>
        <w:t xml:space="preserve"> Six activities per day, AM and PM sessions, "no theory dumps, no PowerPoint marathons".</w:t>
      </w:r>
    </w:p>
    <w:p>
      <w:pPr>
        <w:pStyle w:val="ListParagraph"/>
        <w:numPr>
          <w:ilvl w:val="1"/>
          <w:numId w:val="5"/>
        </w:numPr>
      </w:pPr>
      <w:r>
        <w:t xml:space="preserve">Day One — Foundation &amp; core tools: structured repeated practice to build a prompting rhythm. Tools: ChatGPT, Claude, Gemini, NotebookLM.</w:t>
      </w:r>
    </w:p>
    <w:p>
      <w:pPr>
        <w:pStyle w:val="ListParagraph"/>
        <w:numPr>
          <w:ilvl w:val="1"/>
          <w:numId w:val="5"/>
        </w:numPr>
      </w:pPr>
      <w:r>
        <w:t xml:space="preserve">Day Two — Deeper workflows &amp; productivity: more complex scenarios; ends with a picture of where AI fits in the working week and a certificate. Tools: Gamma, Canva, Bricks, GenSpark.</w:t>
      </w:r>
    </w:p>
    <w:p>
      <w:pPr>
        <w:pStyle w:val="ListParagraph"/>
        <w:numPr>
          <w:ilvl w:val="0"/>
          <w:numId w:val="4"/>
        </w:numPr>
      </w:pPr>
      <w:r>
        <w:rPr>
          <w:b/>
        </w:rPr>
        <w:t xml:space="preserve">Inclusions:</w:t>
      </w:r>
      <w:r>
        <w:t xml:space="preserve"> printed perfect-bound full-colour workbook; printed completion certificate on the final day; 30-day LMS access; personalised name tag and desk card; SA context throughout (CAPS, POPIA, CCMA, NHI); max 20 participants.</w:t>
      </w:r>
    </w:p>
    <w:p>
      <w:pPr>
        <w:pStyle w:val="ListParagraph"/>
        <w:numPr>
          <w:ilvl w:val="0"/>
          <w:numId w:val="4"/>
        </w:numPr>
      </w:pPr>
      <w:r>
        <w:rPr>
          <w:b/>
        </w:rPr>
        <w:t xml:space="preserve">Free Tools Only — "No subscriptions. Ever."</w:t>
      </w:r>
      <w:r>
        <w:t xml:space="preserve"> Bring a laptop and a Google account. Tool list: ChatGPT, Claude, Gemini, NotebookLM, Canva, Gamma, Bricks, GenSpark. Selection varies by theme.</w:t>
      </w:r>
    </w:p>
    <w:p>
      <w:pPr>
        <w:pStyle w:val="ListParagraph"/>
        <w:numPr>
          <w:ilvl w:val="0"/>
          <w:numId w:val="4"/>
        </w:numPr>
      </w:pPr>
      <w:r>
        <w:rPr>
          <w:b/>
        </w:rPr>
        <w:t xml:space="preserve">How It Works — demand-led, voucher-first:</w:t>
      </w:r>
      <w:r>
        <w:t xml:space="preserve"> (01) buy a voucher, theme now or later, 90-day validity; (02) GEMIS confirms date and venue once a region has enough vouchers, two weeks' notice minimum; (03) redeem in My Account, pick a date, confirm the name for workbook and certificate, workbook goes to print; (04) attend. </w:t>
      </w:r>
      <w:r>
        <w:rPr>
          <w:b/>
        </w:rPr>
        <w:t xml:space="preserve">Brand promise:</w:t>
      </w:r>
      <w:r>
        <w:t xml:space="preserve"> full refund if minimum regional demand isn't reached within 90 days of purchase, "no questions, no hidden conditions".</w:t>
      </w:r>
    </w:p>
    <w:p>
      <w:pPr>
        <w:pStyle w:val="ListParagraph"/>
        <w:numPr>
          <w:ilvl w:val="0"/>
          <w:numId w:val="4"/>
        </w:numPr>
      </w:pPr>
      <w:r>
        <w:rPr>
          <w:b/>
        </w:rPr>
        <w:t xml:space="preserve">Buy a Voucher</w:t>
      </w:r>
      <w:r>
        <w:t xml:space="preserve"> — pricing card and team volume table (below). Checkout via Yoco with an automatic VAT invoice. Button links to /shop/?type=advantage.</w:t>
      </w:r>
    </w:p>
    <w:p>
      <w:pPr>
        <w:pStyle w:val="ListParagraph"/>
        <w:numPr>
          <w:ilvl w:val="0"/>
          <w:numId w:val="4"/>
        </w:numPr>
      </w:pPr>
      <w:r>
        <w:rPr>
          <w:b/>
        </w:rPr>
        <w:t xml:space="preserve">Register your interest (no payment).</w:t>
      </w:r>
      <w:r>
        <w:t xml:space="preserve"> Fields: first name, last name, email, retreat (A01–A05 or "not sure yet"), preferred region (No preference, Cape Town/Stellenbosch, Johannesburg/Pretoria, Durban, Other), preferred month (no preference, next 30/60/90 days, later), POPIA consent checkbox linking /privacy/. Button: "Notify me when a date is confirmed". Promises first-to-register priority and a direct booking link.</w:t>
      </w:r>
    </w:p>
    <w:p>
      <w:pPr>
        <w:pStyle w:val="ListParagraph"/>
        <w:numPr>
          <w:ilvl w:val="0"/>
          <w:numId w:val="4"/>
        </w:numPr>
      </w:pPr>
      <w:r>
        <w:rPr>
          <w:b/>
        </w:rPr>
        <w:t xml:space="preserve">FAQ</w:t>
      </w:r>
      <w:r>
        <w:t xml:space="preserve"> (9 questions, summarised below).</w:t>
      </w:r>
    </w:p>
    <w:p>
      <w:pPr>
        <w:pStyle w:val="ListParagraph"/>
        <w:numPr>
          <w:ilvl w:val="0"/>
          <w:numId w:val="4"/>
        </w:numPr>
      </w:pPr>
      <w:r>
        <w:rPr>
          <w:b/>
        </w:rPr>
        <w:t xml:space="preserve">Closing CTA:</w:t>
      </w:r>
      <w:r>
        <w:t xml:space="preserve"> "Two days. Five retreats. One decision." Buttons: Buy a Flexible Voucher, Register Interest. Image: Jordan Chardonnay at golden hour.</w:t>
      </w:r>
    </w:p>
    <w:p>
      <w:pPr>
        <w:pStyle w:val="Heading3"/>
      </w:pPr>
      <w:r>
        <w:t xml:space="preserve">The five retreat tracks</w:t>
      </w:r>
    </w:p>
    <w:tbl>
      <w:tblPr>
        <w:tblStyle w:val="TableGrid"/>
        <w:tblW w:w="0" w:type="auto"/>
        <w:tblLayout w:type="fixed"/>
        <w:tblLook w:val="04A0" w:firstRow="1" w:lastRow="0" w:firstColumn="0" w:lastColumn="0" w:noHBand="0" w:noVBand="1"/>
      </w:tblPr>
      <w:tblGrid>
        <w:gridCol w:w="750"/>
        <w:gridCol w:w="1984"/>
        <w:gridCol w:w="2880"/>
        <w:gridCol w:w="3746"/>
      </w:tblGrid>
      <w:tr>
        <w:trPr>
          <w:tblHeader/>
        </w:trPr>
        <w:tc>
          <w:tcPr>
            <w:tcW w:w="750" w:type="dxa"/>
            <w:shd w:val="clear" w:color="auto" w:fill="F2F2F2"/>
          </w:tcPr>
          <w:p>
            <w:pPr/>
            <w:r>
              <w:t xml:space="preserve">Code</w:t>
            </w:r>
          </w:p>
        </w:tc>
        <w:tc>
          <w:tcPr>
            <w:tcW w:w="1984" w:type="dxa"/>
            <w:shd w:val="clear" w:color="auto" w:fill="F2F2F2"/>
          </w:tcPr>
          <w:p>
            <w:pPr/>
            <w:r>
              <w:t xml:space="preserve">Track</w:t>
            </w:r>
          </w:p>
        </w:tc>
        <w:tc>
          <w:tcPr>
            <w:tcW w:w="2880" w:type="dxa"/>
            <w:shd w:val="clear" w:color="auto" w:fill="F2F2F2"/>
          </w:tcPr>
          <w:p>
            <w:pPr/>
            <w:r>
              <w:t xml:space="preserve">For</w:t>
            </w:r>
          </w:p>
        </w:tc>
        <w:tc>
          <w:tcPr>
            <w:tcW w:w="3746" w:type="dxa"/>
            <w:shd w:val="clear" w:color="auto" w:fill="F2F2F2"/>
          </w:tcPr>
          <w:p>
            <w:pPr/>
            <w:r>
              <w:t xml:space="preserve">Focus</w:t>
            </w:r>
          </w:p>
        </w:tc>
      </w:tr>
      <w:tr>
        <w:tc>
          <w:tcPr>
            <w:tcW w:w="750" w:type="dxa"/>
          </w:tcPr>
          <w:p>
            <w:pPr/>
            <w:r>
              <w:t xml:space="preserve">A01</w:t>
            </w:r>
          </w:p>
        </w:tc>
        <w:tc>
          <w:tcPr>
            <w:tcW w:w="1984" w:type="dxa"/>
          </w:tcPr>
          <w:p>
            <w:pPr/>
            <w:r>
              <w:t xml:space="preserve">Business Leaders &amp; Executives</w:t>
            </w:r>
          </w:p>
        </w:tc>
        <w:tc>
          <w:tcPr>
            <w:tcW w:w="2880" w:type="dxa"/>
          </w:tcPr>
          <w:p>
            <w:pPr/>
            <w:r>
              <w:t xml:space="preserve">Executives, directors, senior managers</w:t>
            </w:r>
          </w:p>
        </w:tc>
        <w:tc>
          <w:tcPr>
            <w:tcW w:w="3746" w:type="dxa"/>
          </w:tcPr>
          <w:p>
            <w:pPr/>
            <w:r>
              <w:t xml:space="preserve">Strategy, communication, reporting, decision support</w:t>
            </w:r>
          </w:p>
        </w:tc>
      </w:tr>
      <w:tr>
        <w:tc>
          <w:tcPr>
            <w:tcW w:w="750" w:type="dxa"/>
          </w:tcPr>
          <w:p>
            <w:pPr/>
            <w:r>
              <w:t xml:space="preserve">A02</w:t>
            </w:r>
          </w:p>
        </w:tc>
        <w:tc>
          <w:tcPr>
            <w:tcW w:w="1984" w:type="dxa"/>
          </w:tcPr>
          <w:p>
            <w:pPr/>
            <w:r>
              <w:t xml:space="preserve">The Education Professional</w:t>
            </w:r>
          </w:p>
        </w:tc>
        <w:tc>
          <w:tcPr>
            <w:tcW w:w="2880" w:type="dxa"/>
          </w:tcPr>
          <w:p>
            <w:pPr/>
            <w:r>
              <w:t xml:space="preserve">School leaders, lecturers, training managers</w:t>
            </w:r>
          </w:p>
        </w:tc>
        <w:tc>
          <w:tcPr>
            <w:tcW w:w="3746" w:type="dxa"/>
          </w:tcPr>
          <w:p>
            <w:pPr/>
            <w:r>
              <w:t xml:space="preserve">Lesson design, assessment, communication, professional development</w:t>
            </w:r>
          </w:p>
        </w:tc>
      </w:tr>
      <w:tr>
        <w:tc>
          <w:tcPr>
            <w:tcW w:w="750" w:type="dxa"/>
          </w:tcPr>
          <w:p>
            <w:pPr/>
            <w:r>
              <w:t xml:space="preserve">A03</w:t>
            </w:r>
          </w:p>
        </w:tc>
        <w:tc>
          <w:tcPr>
            <w:tcW w:w="1984" w:type="dxa"/>
          </w:tcPr>
          <w:p>
            <w:pPr/>
            <w:r>
              <w:t xml:space="preserve">The Independent Professional</w:t>
            </w:r>
          </w:p>
        </w:tc>
        <w:tc>
          <w:tcPr>
            <w:tcW w:w="2880" w:type="dxa"/>
          </w:tcPr>
          <w:p>
            <w:pPr/>
            <w:r>
              <w:t xml:space="preserve">Consultants, advisors, freelancers, sole practitioners</w:t>
            </w:r>
          </w:p>
        </w:tc>
        <w:tc>
          <w:tcPr>
            <w:tcW w:w="3746" w:type="dxa"/>
          </w:tcPr>
          <w:p>
            <w:pPr/>
            <w:r>
              <w:t xml:space="preserve">Research, writing, reporting, client delivery</w:t>
            </w:r>
          </w:p>
        </w:tc>
      </w:tr>
      <w:tr>
        <w:tc>
          <w:tcPr>
            <w:tcW w:w="750" w:type="dxa"/>
          </w:tcPr>
          <w:p>
            <w:pPr/>
            <w:r>
              <w:t xml:space="preserve">A04</w:t>
            </w:r>
          </w:p>
        </w:tc>
        <w:tc>
          <w:tcPr>
            <w:tcW w:w="1984" w:type="dxa"/>
          </w:tcPr>
          <w:p>
            <w:pPr/>
            <w:r>
              <w:t xml:space="preserve">Creative &amp; Marketing</w:t>
            </w:r>
          </w:p>
        </w:tc>
        <w:tc>
          <w:tcPr>
            <w:tcW w:w="2880" w:type="dxa"/>
          </w:tcPr>
          <w:p>
            <w:pPr/>
            <w:r>
              <w:t xml:space="preserve">Designers, marketers, content creators, brand managers</w:t>
            </w:r>
          </w:p>
        </w:tc>
        <w:tc>
          <w:tcPr>
            <w:tcW w:w="3746" w:type="dxa"/>
          </w:tcPr>
          <w:p>
            <w:pPr/>
            <w:r>
              <w:t xml:space="preserve">Ideation, content production, visual creation, campaign planning</w:t>
            </w:r>
          </w:p>
        </w:tc>
      </w:tr>
      <w:tr>
        <w:tc>
          <w:tcPr>
            <w:tcW w:w="750" w:type="dxa"/>
          </w:tcPr>
          <w:p>
            <w:pPr/>
            <w:r>
              <w:t xml:space="preserve">A05</w:t>
            </w:r>
          </w:p>
        </w:tc>
        <w:tc>
          <w:tcPr>
            <w:tcW w:w="1984" w:type="dxa"/>
          </w:tcPr>
          <w:p>
            <w:pPr/>
            <w:r>
              <w:t xml:space="preserve">Entrepreneur &amp; Business Owner</w:t>
            </w:r>
          </w:p>
        </w:tc>
        <w:tc>
          <w:tcPr>
            <w:tcW w:w="2880" w:type="dxa"/>
          </w:tcPr>
          <w:p>
            <w:pPr/>
            <w:r>
              <w:t xml:space="preserve">SME owners, entrepreneurs</w:t>
            </w:r>
          </w:p>
        </w:tc>
        <w:tc>
          <w:tcPr>
            <w:tcW w:w="3746" w:type="dxa"/>
          </w:tcPr>
          <w:p>
            <w:pPr/>
            <w:r>
              <w:t xml:space="preserve">Operations, sales, communication, financial management</w:t>
            </w:r>
          </w:p>
        </w:tc>
      </w:tr>
    </w:tbl>
    <w:p>
      <w:pPr>
        <w:pStyle w:val="Heading3"/>
      </w:pPr>
      <w:r>
        <w:t xml:space="preserve">Pricing and voucher terms</w:t>
      </w:r>
    </w:p>
    <w:p>
      <w:pPr/>
      <w:r>
        <w:t xml:space="preserve">The Flexible Voucher costs R5,999 excl. VAT, is valid 90 days, works for any theme (A01–A05) and any confirmed date in that window. Seats are confirmed at redemption subject to availability. The rate closes once cohort dates are confirmed; the page notes that at standard rate a group of 20 pays per head what a single early buyer pays today.</w:t>
      </w:r>
    </w:p>
    <w:tbl>
      <w:tblPr>
        <w:tblStyle w:val="TableGrid"/>
        <w:tblW w:w="0" w:type="auto"/>
        <w:tblLayout w:type="fixed"/>
        <w:tblLook w:val="04A0" w:firstRow="1" w:lastRow="0" w:firstColumn="0" w:lastColumn="0" w:noHBand="0" w:noVBand="1"/>
      </w:tblPr>
      <w:tblGrid>
        <w:gridCol w:w="1871"/>
        <w:gridCol w:w="1278"/>
        <w:gridCol w:w="2782"/>
        <w:gridCol w:w="3427"/>
      </w:tblGrid>
      <w:tr>
        <w:trPr>
          <w:tblHeader/>
        </w:trPr>
        <w:tc>
          <w:tcPr>
            <w:tcW w:w="1871" w:type="dxa"/>
            <w:shd w:val="clear" w:color="auto" w:fill="F2F2F2"/>
          </w:tcPr>
          <w:p>
            <w:pPr/>
            <w:r>
              <w:t xml:space="preserve">Tier</w:t>
            </w:r>
          </w:p>
        </w:tc>
        <w:tc>
          <w:tcPr>
            <w:tcW w:w="1278" w:type="dxa"/>
            <w:shd w:val="clear" w:color="auto" w:fill="F2F2F2"/>
          </w:tcPr>
          <w:p>
            <w:pPr/>
            <w:r>
              <w:t xml:space="preserve">Quantity</w:t>
            </w:r>
          </w:p>
        </w:tc>
        <w:tc>
          <w:tcPr>
            <w:tcW w:w="2782" w:type="dxa"/>
            <w:shd w:val="clear" w:color="auto" w:fill="F2F2F2"/>
          </w:tcPr>
          <w:p>
            <w:pPr/>
            <w:r>
              <w:t xml:space="preserve">Price pp (excl. VAT)</w:t>
            </w:r>
          </w:p>
        </w:tc>
        <w:tc>
          <w:tcPr>
            <w:tcW w:w="3427" w:type="dxa"/>
            <w:shd w:val="clear" w:color="auto" w:fill="F2F2F2"/>
          </w:tcPr>
          <w:p>
            <w:pPr/>
            <w:r>
              <w:t xml:space="preserve">Discount shown</w:t>
            </w:r>
          </w:p>
        </w:tc>
      </w:tr>
      <w:tr>
        <w:tc>
          <w:tcPr>
            <w:tcW w:w="1871" w:type="dxa"/>
          </w:tcPr>
          <w:p>
            <w:pPr/>
            <w:r>
              <w:t xml:space="preserve">Early-adopter</w:t>
            </w:r>
          </w:p>
        </w:tc>
        <w:tc>
          <w:tcPr>
            <w:tcW w:w="1278" w:type="dxa"/>
          </w:tcPr>
          <w:p>
            <w:pPr/>
            <w:r>
              <w:t xml:space="preserve">Any</w:t>
            </w:r>
          </w:p>
        </w:tc>
        <w:tc>
          <w:tcPr>
            <w:tcW w:w="2782" w:type="dxa"/>
          </w:tcPr>
          <w:p>
            <w:pPr/>
            <w:r>
              <w:t xml:space="preserve">R5,999</w:t>
            </w:r>
          </w:p>
        </w:tc>
        <w:tc>
          <w:tcPr>
            <w:tcW w:w="3427" w:type="dxa"/>
          </w:tcPr>
          <w:p>
            <w:pPr/>
            <w:r>
              <w:t xml:space="preserve">Best price; does not stack</w:t>
            </w:r>
          </w:p>
        </w:tc>
      </w:tr>
      <w:tr>
        <w:tc>
          <w:tcPr>
            <w:tcW w:w="1871" w:type="dxa"/>
          </w:tcPr>
          <w:p>
            <w:pPr/>
            <w:r>
              <w:t xml:space="preserve">Standard</w:t>
            </w:r>
          </w:p>
        </w:tc>
        <w:tc>
          <w:tcPr>
            <w:tcW w:w="1278" w:type="dxa"/>
          </w:tcPr>
          <w:p>
            <w:pPr/>
            <w:r>
              <w:t xml:space="preserve">1–4</w:t>
            </w:r>
          </w:p>
        </w:tc>
        <w:tc>
          <w:tcPr>
            <w:tcW w:w="2782" w:type="dxa"/>
          </w:tcPr>
          <w:p>
            <w:pPr/>
            <w:r>
              <w:t xml:space="preserve">R8,999</w:t>
            </w:r>
          </w:p>
        </w:tc>
        <w:tc>
          <w:tcPr>
            <w:tcW w:w="3427" w:type="dxa"/>
          </w:tcPr>
          <w:p>
            <w:pPr/>
            <w:r>
              <w:t xml:space="preserve">—</w:t>
            </w:r>
          </w:p>
        </w:tc>
      </w:tr>
      <w:tr>
        <w:tc>
          <w:tcPr>
            <w:tcW w:w="1871" w:type="dxa"/>
          </w:tcPr>
          <w:p>
            <w:pPr/>
            <w:r>
              <w:t xml:space="preserve">Standard</w:t>
            </w:r>
          </w:p>
        </w:tc>
        <w:tc>
          <w:tcPr>
            <w:tcW w:w="1278" w:type="dxa"/>
          </w:tcPr>
          <w:p>
            <w:pPr/>
            <w:r>
              <w:t xml:space="preserve">5–9</w:t>
            </w:r>
          </w:p>
        </w:tc>
        <w:tc>
          <w:tcPr>
            <w:tcW w:w="2782" w:type="dxa"/>
          </w:tcPr>
          <w:p>
            <w:pPr/>
            <w:r>
              <w:t xml:space="preserve">R7,199</w:t>
            </w:r>
          </w:p>
        </w:tc>
        <w:tc>
          <w:tcPr>
            <w:tcW w:w="3427" w:type="dxa"/>
          </w:tcPr>
          <w:p>
            <w:pPr/>
            <w:r>
              <w:t xml:space="preserve">20% off, save R1,800</w:t>
            </w:r>
          </w:p>
        </w:tc>
      </w:tr>
      <w:tr>
        <w:tc>
          <w:tcPr>
            <w:tcW w:w="1871" w:type="dxa"/>
          </w:tcPr>
          <w:p>
            <w:pPr/>
            <w:r>
              <w:t xml:space="preserve">Standard</w:t>
            </w:r>
          </w:p>
        </w:tc>
        <w:tc>
          <w:tcPr>
            <w:tcW w:w="1278" w:type="dxa"/>
          </w:tcPr>
          <w:p>
            <w:pPr/>
            <w:r>
              <w:t xml:space="preserve">10–19</w:t>
            </w:r>
          </w:p>
        </w:tc>
        <w:tc>
          <w:tcPr>
            <w:tcW w:w="2782" w:type="dxa"/>
          </w:tcPr>
          <w:p>
            <w:pPr/>
            <w:r>
              <w:t xml:space="preserve">R6,799</w:t>
            </w:r>
          </w:p>
        </w:tc>
        <w:tc>
          <w:tcPr>
            <w:tcW w:w="3427" w:type="dxa"/>
          </w:tcPr>
          <w:p>
            <w:pPr/>
            <w:r>
              <w:t xml:space="preserve">24% off, save R2,200</w:t>
            </w:r>
          </w:p>
        </w:tc>
      </w:tr>
      <w:tr>
        <w:tc>
          <w:tcPr>
            <w:tcW w:w="1871" w:type="dxa"/>
          </w:tcPr>
          <w:p>
            <w:pPr/>
            <w:r>
              <w:t xml:space="preserve">Standard</w:t>
            </w:r>
          </w:p>
        </w:tc>
        <w:tc>
          <w:tcPr>
            <w:tcW w:w="1278" w:type="dxa"/>
          </w:tcPr>
          <w:p>
            <w:pPr/>
            <w:r>
              <w:t xml:space="preserve">20+</w:t>
            </w:r>
          </w:p>
        </w:tc>
        <w:tc>
          <w:tcPr>
            <w:tcW w:w="2782" w:type="dxa"/>
          </w:tcPr>
          <w:p>
            <w:pPr/>
            <w:r>
              <w:t xml:space="preserve">R5,999</w:t>
            </w:r>
          </w:p>
        </w:tc>
        <w:tc>
          <w:tcPr>
            <w:tcW w:w="3427" w:type="dxa"/>
          </w:tcPr>
          <w:p>
            <w:pPr/>
            <w:r>
              <w:t xml:space="preserve">33% off</w:t>
            </w:r>
          </w:p>
        </w:tc>
      </w:tr>
    </w:tbl>
    <w:p>
      <w:pPr/>
      <w:r>
        <w:t xml:space="preserve">Group bookings of 20+ are directed to training@gemis.tech.</w:t>
      </w:r>
    </w:p>
    <w:p>
      <w:pPr>
        <w:pStyle w:val="Heading3"/>
      </w:pPr>
      <w:r>
        <w:t xml:space="preserve">FAQ content</w:t>
      </w:r>
    </w:p>
    <w:p>
      <w:pPr>
        <w:pStyle w:val="ListParagraph"/>
        <w:numPr>
          <w:ilvl w:val="0"/>
          <w:numId w:val="6"/>
        </w:numPr>
      </w:pPr>
      <w:r>
        <w:rPr>
          <w:b/>
        </w:rPr>
        <w:t xml:space="preserve">Why voucher-first?</w:t>
      </w:r>
      <w:r>
        <w:t xml:space="preserve"> Avoids under-attended fixed dates, keeps cohort size right and price down; refund guaranteed if no regional date within 90 days.</w:t>
      </w:r>
    </w:p>
    <w:p>
      <w:pPr>
        <w:pStyle w:val="ListParagraph"/>
        <w:numPr>
          <w:ilvl w:val="0"/>
          <w:numId w:val="6"/>
        </w:numPr>
      </w:pPr>
      <w:r>
        <w:rPr>
          <w:b/>
        </w:rPr>
        <w:t xml:space="preserve">Experience needed?</w:t>
      </w:r>
      <w:r>
        <w:t xml:space="preserve"> None; starts from the beginning.</w:t>
      </w:r>
    </w:p>
    <w:p>
      <w:pPr>
        <w:pStyle w:val="ListParagraph"/>
        <w:numPr>
          <w:ilvl w:val="0"/>
          <w:numId w:val="6"/>
        </w:numPr>
      </w:pPr>
      <w:r>
        <w:rPr>
          <w:b/>
        </w:rPr>
        <w:t xml:space="preserve">What to bring?</w:t>
      </w:r>
      <w:r>
        <w:t xml:space="preserve"> Laptop or tablet, free Google account, internet connection.</w:t>
      </w:r>
    </w:p>
    <w:p>
      <w:pPr>
        <w:pStyle w:val="ListParagraph"/>
        <w:numPr>
          <w:ilvl w:val="0"/>
          <w:numId w:val="6"/>
        </w:numPr>
      </w:pPr>
      <w:r>
        <w:rPr>
          <w:b/>
        </w:rPr>
        <w:t xml:space="preserve">Can't make the confirmed date?</w:t>
      </w:r>
      <w:r>
        <w:t xml:space="preserve"> Hold an unredeemed voucher for a later date within 90 days; a reprint fee applies if the workbook is already printed.</w:t>
      </w:r>
    </w:p>
    <w:p>
      <w:pPr>
        <w:pStyle w:val="ListParagraph"/>
        <w:numPr>
          <w:ilvl w:val="0"/>
          <w:numId w:val="6"/>
        </w:numPr>
      </w:pPr>
      <w:r>
        <w:rPr>
          <w:b/>
        </w:rPr>
        <w:t xml:space="preserve">One day only?</w:t>
      </w:r>
      <w:r>
        <w:t xml:space="preserve"> No; Day Two builds on Day One and the certificate needs both.</w:t>
      </w:r>
    </w:p>
    <w:p>
      <w:pPr>
        <w:pStyle w:val="ListParagraph"/>
        <w:numPr>
          <w:ilvl w:val="0"/>
          <w:numId w:val="6"/>
        </w:numPr>
      </w:pPr>
      <w:r>
        <w:rPr>
          <w:b/>
        </w:rPr>
        <w:t xml:space="preserve">What's included?</w:t>
      </w:r>
      <w:r>
        <w:t xml:space="preserve"> Venue, workbook, name tag, desk card, certificate, 30-day LMS; no hidden costs.</w:t>
      </w:r>
    </w:p>
    <w:p>
      <w:pPr>
        <w:pStyle w:val="ListParagraph"/>
        <w:numPr>
          <w:ilvl w:val="0"/>
          <w:numId w:val="6"/>
        </w:numPr>
      </w:pPr>
      <w:r>
        <w:rPr>
          <w:b/>
        </w:rPr>
        <w:t xml:space="preserve">Which retreat?</w:t>
      </w:r>
      <w:r>
        <w:t xml:space="preserve"> Role-based guidance A01–A05; unsure buyers take the flexible voucher.</w:t>
      </w:r>
    </w:p>
    <w:p>
      <w:pPr>
        <w:pStyle w:val="ListParagraph"/>
        <w:numPr>
          <w:ilvl w:val="0"/>
          <w:numId w:val="6"/>
        </w:numPr>
      </w:pPr>
      <w:r>
        <w:rPr>
          <w:b/>
        </w:rPr>
        <w:t xml:space="preserve">Team purchase?</w:t>
      </w:r>
      <w:r>
        <w:t xml:space="preserve"> Yes; states 10% / 15% / 25% volume discounts (conflicts with the table — see final section).</w:t>
      </w:r>
    </w:p>
    <w:p>
      <w:pPr>
        <w:pStyle w:val="ListParagraph"/>
        <w:numPr>
          <w:ilvl w:val="0"/>
          <w:numId w:val="6"/>
        </w:numPr>
      </w:pPr>
      <w:r>
        <w:rPr>
          <w:b/>
        </w:rPr>
        <w:t xml:space="preserve">Accredited?</w:t>
      </w:r>
      <w:r>
        <w:t xml:space="preserve"> No, not SETA-accredited; a GEMIS professional development certificate for portfolios, LinkedIn and CPD records.</w:t>
      </w:r>
    </w:p>
    <w:p>
      <w:pPr>
        <w:pStyle w:val="Heading2"/>
      </w:pPr>
      <w:r>
        <w:t xml:space="preserve">Page 2 — AI Advantage Express™ (/express/)</w:t>
      </w:r>
    </w:p>
    <w:p>
      <w:pPr/>
      <w:r>
        <w:t xml:space="preserve">The page sells single 4-hour live online sessions (09:00–13:00) at a 50%-off founding rate of R1,249 excl. VAT per voucher (standard R2,499), across four themes. Each session promises one finished workflow, live AnyDesk screen support and a same-day digital certificate.</w:t>
      </w:r>
    </w:p>
    <w:p>
      <w:pPr>
        <w:pStyle w:val="Heading3"/>
      </w:pPr>
      <w:r>
        <w:t xml:space="preserve">Purpose and positioning</w:t>
      </w:r>
    </w:p>
    <w:p>
      <w:pPr>
        <w:pStyle w:val="ListParagraph"/>
        <w:numPr>
          <w:ilvl w:val="0"/>
          <w:numId w:val="7"/>
        </w:numPr>
      </w:pPr>
      <w:r>
        <w:rPr>
          <w:b/>
        </w:rPr>
        <w:t xml:space="preserve">Goal:</w:t>
      </w:r>
      <w:r>
        <w:t xml:space="preserve"> convert time-poor professionals into low-ticket buyers; also capture team/EFT buyers via proforma.</w:t>
      </w:r>
    </w:p>
    <w:p>
      <w:pPr>
        <w:pStyle w:val="ListParagraph"/>
        <w:numPr>
          <w:ilvl w:val="0"/>
          <w:numId w:val="7"/>
        </w:numPr>
      </w:pPr>
      <w:r>
        <w:rPr>
          <w:b/>
        </w:rPr>
        <w:t xml:space="preserve">Audience (as listed):</w:t>
      </w:r>
      <w:r>
        <w:t xml:space="preserve"> busy professionals, teachers and educators, NGO staff, healthcare workers, legal professionals, HR managers, SME owners, "anyone time-poor".</w:t>
      </w:r>
    </w:p>
    <w:p>
      <w:pPr>
        <w:pStyle w:val="ListParagraph"/>
        <w:numPr>
          <w:ilvl w:val="0"/>
          <w:numId w:val="7"/>
        </w:numPr>
      </w:pPr>
      <w:r>
        <w:rPr>
          <w:b/>
        </w:rPr>
        <w:t xml:space="preserve">Positioning:</w:t>
      </w:r>
      <w:r>
        <w:t xml:space="preserve"> "A working session — not a webinar." Build something real, keep it forever, free tools only.</w:t>
      </w:r>
    </w:p>
    <w:p>
      <w:pPr>
        <w:pStyle w:val="ListParagraph"/>
        <w:numPr>
          <w:ilvl w:val="0"/>
          <w:numId w:val="7"/>
        </w:numPr>
      </w:pPr>
      <w:r>
        <w:rPr>
          <w:b/>
        </w:rPr>
        <w:t xml:space="preserve">SEO meta description:</w:t>
      </w:r>
      <w:r>
        <w:t xml:space="preserve"> 4-hour live online sessions on Microsoft Teams, R1,249 founding rate, four themes, "within 90 days". Page title: "AI Advantage Express".</w:t>
      </w:r>
    </w:p>
    <w:p>
      <w:pPr>
        <w:pStyle w:val="Heading3"/>
      </w:pPr>
      <w:r>
        <w:t xml:space="preserve">Section-by-section content</w:t>
      </w:r>
    </w:p>
    <w:p>
      <w:pPr>
        <w:pStyle w:val="ListParagraph"/>
        <w:numPr>
          <w:ilvl w:val="0"/>
          <w:numId w:val="8"/>
        </w:numPr>
      </w:pPr>
      <w:r>
        <w:rPr>
          <w:b/>
        </w:rPr>
        <w:t xml:space="preserve">Dismissible top banner:</w:t>
      </w:r>
      <w:r>
        <w:t xml:space="preserve"> "50% OFF · Founding Cohort — standard rate R2,499 now R1,249 excl. VAT per voucher", with a Claim Rate button to /shop/.</w:t>
      </w:r>
    </w:p>
    <w:p>
      <w:pPr>
        <w:pStyle w:val="ListParagraph"/>
        <w:numPr>
          <w:ilvl w:val="0"/>
          <w:numId w:val="8"/>
        </w:numPr>
      </w:pPr>
      <w:r>
        <w:rPr>
          <w:b/>
        </w:rPr>
        <w:t xml:space="preserve">Hero.</w:t>
      </w:r>
      <w:r>
        <w:t xml:space="preserve"> Eyebrow: "AI Advantage Express™ · Live Online". H1: "Four hours. One new workflow. You keep it forever." Sub: one session per month, four themes, free tools only, AnyDesk support, same-day certificate, voucher valid 60 days against any published date. CTAs: Buy Voucher — R1,249 excl. VAT (/shop/), View Monthly Schedule (#schedule). Badge: "Live screen support".</w:t>
      </w:r>
    </w:p>
    <w:p>
      <w:pPr>
        <w:pStyle w:val="ListParagraph"/>
        <w:numPr>
          <w:ilvl w:val="0"/>
          <w:numId w:val="8"/>
        </w:numPr>
      </w:pPr>
      <w:r>
        <w:rPr>
          <w:b/>
        </w:rPr>
        <w:t xml:space="preserve">Every voucher includes:</w:t>
      </w:r>
      <w:r>
        <w:t xml:space="preserve"> 4-hour live session 09:00–13:00; AnyDesk screen support; same-day LinkedIn-ready PDF certificate; 30 days of LMS access.</w:t>
      </w:r>
    </w:p>
    <w:p>
      <w:pPr>
        <w:pStyle w:val="ListParagraph"/>
        <w:numPr>
          <w:ilvl w:val="0"/>
          <w:numId w:val="8"/>
        </w:numPr>
      </w:pPr>
      <w:r>
        <w:rPr>
          <w:b/>
        </w:rPr>
        <w:t xml:space="preserve">Stats strip:</w:t>
      </w:r>
      <w:r>
        <w:t xml:space="preserve"> 4 hrs · Free tools · Same-day certificate · 30 days LMS.</w:t>
      </w:r>
    </w:p>
    <w:p>
      <w:pPr>
        <w:pStyle w:val="ListParagraph"/>
        <w:numPr>
          <w:ilvl w:val="0"/>
          <w:numId w:val="8"/>
        </w:numPr>
      </w:pPr>
      <w:r>
        <w:rPr>
          <w:b/>
        </w:rPr>
        <w:t xml:space="preserve">The four sessions</w:t>
      </w:r>
      <w:r>
        <w:t xml:space="preserve"> (table below). Each card is labelled "Monthly · Saturdays" and priced R1,249. Note: theme is chosen at activation in My Account, not at purchase. Intro line: "Volume discount: 10% off at 10+ vouchers". CTA: Buy Voucher — R1,249.</w:t>
      </w:r>
    </w:p>
    <w:p>
      <w:pPr>
        <w:pStyle w:val="ListParagraph"/>
        <w:numPr>
          <w:ilvl w:val="0"/>
          <w:numId w:val="8"/>
        </w:numPr>
      </w:pPr>
      <w:r>
        <w:rPr>
          <w:b/>
        </w:rPr>
        <w:t xml:space="preserve">What's included:</w:t>
      </w:r>
      <w:r>
        <w:t xml:space="preserve"> the four inclusions again, a free AnyDesk download link (anydesk.com/en/downloads), and "free tools only — no subscriptions required".</w:t>
      </w:r>
    </w:p>
    <w:p>
      <w:pPr>
        <w:pStyle w:val="ListParagraph"/>
        <w:numPr>
          <w:ilvl w:val="0"/>
          <w:numId w:val="8"/>
        </w:numPr>
      </w:pPr>
      <w:r>
        <w:rPr>
          <w:b/>
        </w:rPr>
        <w:t xml:space="preserve">Testimonials carousel</w:t>
      </w:r>
      <w:r>
        <w:t xml:space="preserve"> (six quotes, looped twice in the markup) — heading "Real workflows. Real Monday mornings." Named people: Thandeka Mkhize (Operations Manager, Johannesburg, EX01); Pieter van der Merwe (SME Owner, Stellenbosch, EX02); Naledi Khumalo (Finance Lead, Pretoria, EX03); Sarah Adams (NGO Director, Cape Town, EX04); Riaan Botha (HR Manager, Durban, EX02); Lerato Dlamini (Senior Educator, Gqeberha, EX01).</w:t>
      </w:r>
    </w:p>
    <w:p>
      <w:pPr>
        <w:pStyle w:val="ListParagraph"/>
        <w:numPr>
          <w:ilvl w:val="0"/>
          <w:numId w:val="8"/>
        </w:numPr>
      </w:pPr>
      <w:r>
        <w:rPr>
          <w:b/>
        </w:rPr>
        <w:t xml:space="preserve">Pricing</w:t>
      </w:r>
      <w:r>
        <w:t xml:space="preserve"> (table below), plus an Organisation/EFT panel: state voucher count and sessions → proforma invoice valid 7 days → pay by EFT, vouchers released on confirmation. VAT invoice on the GEMIS parent VAT number. CTA: Request Proforma Invoice (links to /shop/).</w:t>
      </w:r>
    </w:p>
    <w:p>
      <w:pPr>
        <w:pStyle w:val="ListParagraph"/>
        <w:numPr>
          <w:ilvl w:val="0"/>
          <w:numId w:val="8"/>
        </w:numPr>
      </w:pPr>
      <w:r>
        <w:rPr>
          <w:b/>
        </w:rPr>
        <w:t xml:space="preserve">Who this is for</w:t>
      </w:r>
      <w:r>
        <w:t xml:space="preserve"> — the audience list above.</w:t>
      </w:r>
    </w:p>
    <w:p>
      <w:pPr>
        <w:pStyle w:val="ListParagraph"/>
        <w:numPr>
          <w:ilvl w:val="0"/>
          <w:numId w:val="8"/>
        </w:numPr>
      </w:pPr>
      <w:r>
        <w:rPr>
          <w:b/>
        </w:rPr>
        <w:t xml:space="preserve">Monthly schedule</w:t>
      </w:r>
      <w:r>
        <w:t xml:space="preserve"> with link to /events/: Apr 12 EX01, Apr 26 EX02, May 10 EX03, May 24 EX04 — all 09:00–13:00, live online, AnyDesk support, each tagged "Live".</w:t>
      </w:r>
    </w:p>
    <w:p>
      <w:pPr>
        <w:pStyle w:val="ListParagraph"/>
        <w:numPr>
          <w:ilvl w:val="0"/>
          <w:numId w:val="8"/>
        </w:numPr>
      </w:pPr>
      <w:r>
        <w:rPr>
          <w:b/>
        </w:rPr>
        <w:t xml:space="preserve">FAQ</w:t>
      </w:r>
      <w:r>
        <w:t xml:space="preserve"> (6 questions, summarised below).</w:t>
      </w:r>
    </w:p>
    <w:p>
      <w:pPr>
        <w:pStyle w:val="ListParagraph"/>
        <w:numPr>
          <w:ilvl w:val="0"/>
          <w:numId w:val="8"/>
        </w:numPr>
      </w:pPr>
      <w:r>
        <w:rPr>
          <w:b/>
        </w:rPr>
        <w:t xml:space="preserve">Closing CTA:</w:t>
      </w:r>
      <w:r>
        <w:t xml:space="preserve"> "Pick a session. Build something you'll use on Monday." Buttons: Buy Voucher — R1,249, See Upcoming Dates.</w:t>
      </w:r>
    </w:p>
    <w:p>
      <w:pPr>
        <w:pStyle w:val="Heading3"/>
      </w:pPr>
      <w:r>
        <w:t xml:space="preserve">The four session themes</w:t>
      </w:r>
    </w:p>
    <w:tbl>
      <w:tblPr>
        <w:tblStyle w:val="TableGrid"/>
        <w:tblW w:w="0" w:type="auto"/>
        <w:tblLayout w:type="fixed"/>
        <w:tblLook w:val="04A0" w:firstRow="1" w:lastRow="0" w:firstColumn="0" w:lastColumn="0" w:noHBand="0" w:noVBand="1"/>
      </w:tblPr>
      <w:tblGrid>
        <w:gridCol w:w="789"/>
        <w:gridCol w:w="1872"/>
        <w:gridCol w:w="1627"/>
        <w:gridCol w:w="3608"/>
        <w:gridCol w:w="1464"/>
      </w:tblGrid>
      <w:tr>
        <w:trPr>
          <w:tblHeader/>
        </w:trPr>
        <w:tc>
          <w:tcPr>
            <w:tcW w:w="789" w:type="dxa"/>
            <w:shd w:val="clear" w:color="auto" w:fill="F2F2F2"/>
          </w:tcPr>
          <w:p>
            <w:pPr/>
            <w:r>
              <w:t xml:space="preserve">Code</w:t>
            </w:r>
          </w:p>
        </w:tc>
        <w:tc>
          <w:tcPr>
            <w:tcW w:w="1872" w:type="dxa"/>
            <w:shd w:val="clear" w:color="auto" w:fill="F2F2F2"/>
          </w:tcPr>
          <w:p>
            <w:pPr/>
            <w:r>
              <w:t xml:space="preserve">Theme</w:t>
            </w:r>
          </w:p>
        </w:tc>
        <w:tc>
          <w:tcPr>
            <w:tcW w:w="1627" w:type="dxa"/>
            <w:shd w:val="clear" w:color="auto" w:fill="F2F2F2"/>
          </w:tcPr>
          <w:p>
            <w:pPr/>
            <w:r>
              <w:t xml:space="preserve">Tools</w:t>
            </w:r>
          </w:p>
        </w:tc>
        <w:tc>
          <w:tcPr>
            <w:tcW w:w="3608" w:type="dxa"/>
            <w:shd w:val="clear" w:color="auto" w:fill="F2F2F2"/>
          </w:tcPr>
          <w:p>
            <w:pPr/>
            <w:r>
              <w:t xml:space="preserve">Learning outcomes</w:t>
            </w:r>
          </w:p>
        </w:tc>
        <w:tc>
          <w:tcPr>
            <w:tcW w:w="1464" w:type="dxa"/>
            <w:shd w:val="clear" w:color="auto" w:fill="F2F2F2"/>
          </w:tcPr>
          <w:p>
            <w:pPr/>
            <w:r>
              <w:t xml:space="preserve">Promised output</w:t>
            </w:r>
          </w:p>
        </w:tc>
      </w:tr>
      <w:tr>
        <w:tc>
          <w:tcPr>
            <w:tcW w:w="789" w:type="dxa"/>
          </w:tcPr>
          <w:p>
            <w:pPr/>
            <w:r>
              <w:t xml:space="preserve">EX01</w:t>
            </w:r>
          </w:p>
        </w:tc>
        <w:tc>
          <w:tcPr>
            <w:tcW w:w="1872" w:type="dxa"/>
          </w:tcPr>
          <w:p>
            <w:pPr/>
            <w:r>
              <w:t xml:space="preserve">Research &amp; Intelligence</w:t>
            </w:r>
          </w:p>
        </w:tc>
        <w:tc>
          <w:tcPr>
            <w:tcW w:w="1627" w:type="dxa"/>
          </w:tcPr>
          <w:p>
            <w:pPr/>
            <w:r>
              <w:t xml:space="preserve">Perplexity, NotebookLM, Claude</w:t>
            </w:r>
          </w:p>
        </w:tc>
        <w:tc>
          <w:tcPr>
            <w:tcW w:w="3608" w:type="dxa"/>
          </w:tcPr>
          <w:p>
            <w:pPr/>
            <w:r>
              <w:t xml:space="preserve">Multi-source verified research; NotebookLM knowledge base from documents; auto-generated research brief; fact-checking and citation</w:t>
            </w:r>
          </w:p>
        </w:tc>
        <w:tc>
          <w:tcPr>
            <w:tcW w:w="1464" w:type="dxa"/>
          </w:tcPr>
          <w:p>
            <w:pPr/>
            <w:r>
              <w:t xml:space="preserve">A research brief built live</w:t>
            </w:r>
          </w:p>
        </w:tc>
      </w:tr>
      <w:tr>
        <w:tc>
          <w:tcPr>
            <w:tcW w:w="789" w:type="dxa"/>
          </w:tcPr>
          <w:p>
            <w:pPr/>
            <w:r>
              <w:t xml:space="preserve">EX02</w:t>
            </w:r>
          </w:p>
        </w:tc>
        <w:tc>
          <w:tcPr>
            <w:tcW w:w="1872" w:type="dxa"/>
          </w:tcPr>
          <w:p>
            <w:pPr/>
            <w:r>
              <w:t xml:space="preserve">Writing &amp; Communication</w:t>
            </w:r>
          </w:p>
        </w:tc>
        <w:tc>
          <w:tcPr>
            <w:tcW w:w="1627" w:type="dxa"/>
          </w:tcPr>
          <w:p>
            <w:pPr/>
            <w:r>
              <w:t xml:space="preserve">Claude, ChatGPT</w:t>
            </w:r>
          </w:p>
        </w:tc>
        <w:tc>
          <w:tcPr>
            <w:tcW w:w="3608" w:type="dxa"/>
          </w:tcPr>
          <w:p>
            <w:pPr/>
            <w:r>
              <w:t xml:space="preserve">Prompting for professional writing; personal style guide in Claude; draft a real proposal or report; email and stakeholder templates</w:t>
            </w:r>
          </w:p>
        </w:tc>
        <w:tc>
          <w:tcPr>
            <w:tcW w:w="1464" w:type="dxa"/>
          </w:tcPr>
          <w:p>
            <w:pPr/>
            <w:r>
              <w:t xml:space="preserve">An email, proposal or report in your own voice</w:t>
            </w:r>
          </w:p>
        </w:tc>
      </w:tr>
      <w:tr>
        <w:tc>
          <w:tcPr>
            <w:tcW w:w="789" w:type="dxa"/>
          </w:tcPr>
          <w:p>
            <w:pPr/>
            <w:r>
              <w:t xml:space="preserve">EX03</w:t>
            </w:r>
          </w:p>
        </w:tc>
        <w:tc>
          <w:tcPr>
            <w:tcW w:w="1872" w:type="dxa"/>
          </w:tcPr>
          <w:p>
            <w:pPr/>
            <w:r>
              <w:t xml:space="preserve">Data &amp; Reporting</w:t>
            </w:r>
          </w:p>
        </w:tc>
        <w:tc>
          <w:tcPr>
            <w:tcW w:w="1627" w:type="dxa"/>
          </w:tcPr>
          <w:p>
            <w:pPr/>
            <w:r>
              <w:t xml:space="preserve">ChatGPT, Claude, Google Sheets</w:t>
            </w:r>
          </w:p>
        </w:tc>
        <w:tc>
          <w:tcPr>
            <w:tcW w:w="3608" w:type="dxa"/>
          </w:tcPr>
          <w:p>
            <w:pPr/>
            <w:r>
              <w:t xml:space="preserve">Clean and structure data with prompts; charts and visual summaries; executive summary from a dataset; reusable monthly reporting template</w:t>
            </w:r>
          </w:p>
        </w:tc>
        <w:tc>
          <w:tcPr>
            <w:tcW w:w="1464" w:type="dxa"/>
          </w:tcPr>
          <w:p>
            <w:pPr/>
            <w:r>
              <w:t xml:space="preserve">A live report, spreadsheet to executive summary</w:t>
            </w:r>
          </w:p>
        </w:tc>
      </w:tr>
      <w:tr>
        <w:tc>
          <w:tcPr>
            <w:tcW w:w="789" w:type="dxa"/>
          </w:tcPr>
          <w:p>
            <w:pPr/>
            <w:r>
              <w:t xml:space="preserve">EX04</w:t>
            </w:r>
          </w:p>
        </w:tc>
        <w:tc>
          <w:tcPr>
            <w:tcW w:w="1872" w:type="dxa"/>
          </w:tcPr>
          <w:p>
            <w:pPr/>
            <w:r>
              <w:t xml:space="preserve">Presentation &amp; Visual Communication</w:t>
            </w:r>
          </w:p>
        </w:tc>
        <w:tc>
          <w:tcPr>
            <w:tcW w:w="1627" w:type="dxa"/>
          </w:tcPr>
          <w:p>
            <w:pPr/>
            <w:r>
              <w:t xml:space="preserve">Gamma, Canva, Claude</w:t>
            </w:r>
          </w:p>
        </w:tc>
        <w:tc>
          <w:tcPr>
            <w:tcW w:w="3608" w:type="dxa"/>
          </w:tcPr>
          <w:p>
            <w:pPr/>
            <w:r>
              <w:t xml:space="preserve">AI outline in minutes; auto-generate slides from a brief; Canva AI visuals; refine for audience and tone</w:t>
            </w:r>
          </w:p>
        </w:tc>
        <w:tc>
          <w:tcPr>
            <w:tcW w:w="1464" w:type="dxa"/>
          </w:tcPr>
          <w:p>
            <w:pPr/>
            <w:r>
              <w:t xml:space="preserve">A complete AI-built deck</w:t>
            </w:r>
          </w:p>
        </w:tc>
      </w:tr>
    </w:tbl>
    <w:p>
      <w:pPr>
        <w:pStyle w:val="Heading3"/>
      </w:pPr>
      <w:r>
        <w:t xml:space="preserve">Pricing</w:t>
      </w:r>
    </w:p>
    <w:tbl>
      <w:tblPr>
        <w:tblStyle w:val="TableGrid"/>
        <w:tblW w:w="0" w:type="auto"/>
        <w:tblLayout w:type="fixed"/>
        <w:tblLook w:val="04A0" w:firstRow="1" w:lastRow="0" w:firstColumn="0" w:lastColumn="0" w:noHBand="0" w:noVBand="1"/>
      </w:tblPr>
      <w:tblGrid>
        <w:gridCol w:w="1526"/>
        <w:gridCol w:w="2093"/>
        <w:gridCol w:w="1306"/>
        <w:gridCol w:w="4435"/>
      </w:tblGrid>
      <w:tr>
        <w:trPr>
          <w:tblHeader/>
        </w:trPr>
        <w:tc>
          <w:tcPr>
            <w:tcW w:w="1526" w:type="dxa"/>
            <w:shd w:val="clear" w:color="auto" w:fill="F2F2F2"/>
          </w:tcPr>
          <w:p>
            <w:pPr/>
            <w:r>
              <w:t xml:space="preserve">Option</w:t>
            </w:r>
          </w:p>
        </w:tc>
        <w:tc>
          <w:tcPr>
            <w:tcW w:w="2093" w:type="dxa"/>
            <w:shd w:val="clear" w:color="auto" w:fill="F2F2F2"/>
          </w:tcPr>
          <w:p>
            <w:pPr/>
            <w:r>
              <w:t xml:space="preserve">Price (excl. VAT)</w:t>
            </w:r>
          </w:p>
        </w:tc>
        <w:tc>
          <w:tcPr>
            <w:tcW w:w="1306" w:type="dxa"/>
            <w:shd w:val="clear" w:color="auto" w:fill="F2F2F2"/>
          </w:tcPr>
          <w:p>
            <w:pPr/>
            <w:r>
              <w:t xml:space="preserve">Validity</w:t>
            </w:r>
          </w:p>
        </w:tc>
        <w:tc>
          <w:tcPr>
            <w:tcW w:w="4435" w:type="dxa"/>
            <w:shd w:val="clear" w:color="auto" w:fill="F2F2F2"/>
          </w:tcPr>
          <w:p>
            <w:pPr/>
            <w:r>
              <w:t xml:space="preserve">What's added</w:t>
            </w:r>
          </w:p>
        </w:tc>
      </w:tr>
      <w:tr>
        <w:tc>
          <w:tcPr>
            <w:tcW w:w="1526" w:type="dxa"/>
          </w:tcPr>
          <w:p>
            <w:pPr/>
            <w:r>
              <w:t xml:space="preserve">Standard Voucher</w:t>
            </w:r>
          </w:p>
        </w:tc>
        <w:tc>
          <w:tcPr>
            <w:tcW w:w="2093" w:type="dxa"/>
          </w:tcPr>
          <w:p>
            <w:pPr/>
            <w:r>
              <w:t xml:space="preserve">R2,499</w:t>
            </w:r>
          </w:p>
        </w:tc>
        <w:tc>
          <w:tcPr>
            <w:tcW w:w="1306" w:type="dxa"/>
          </w:tcPr>
          <w:p>
            <w:pPr/>
            <w:r>
              <w:t xml:space="preserve">60 days, one session</w:t>
            </w:r>
          </w:p>
        </w:tc>
        <w:tc>
          <w:tcPr>
            <w:tcW w:w="4435" w:type="dxa"/>
          </w:tcPr>
          <w:p>
            <w:pPr/>
            <w:r>
              <w:t xml:space="preserve">Any session, AnyDesk, same-day certificate, 30-day LMS; 5% off at 5 vouchers, 10% off at 10+</w:t>
            </w:r>
          </w:p>
        </w:tc>
      </w:tr>
      <w:tr>
        <w:tc>
          <w:tcPr>
            <w:tcW w:w="1526" w:type="dxa"/>
          </w:tcPr>
          <w:p>
            <w:pPr/>
            <w:r>
              <w:t xml:space="preserve">Founding Cohort Rate ("Early Supporter · Limited")</w:t>
            </w:r>
          </w:p>
        </w:tc>
        <w:tc>
          <w:tcPr>
            <w:tcW w:w="2093" w:type="dxa"/>
          </w:tcPr>
          <w:p>
            <w:pPr/>
            <w:r>
              <w:t xml:space="preserve">R1,249 (50% off)</w:t>
            </w:r>
          </w:p>
        </w:tc>
        <w:tc>
          <w:tcPr>
            <w:tcW w:w="1306" w:type="dxa"/>
          </w:tcPr>
          <w:p>
            <w:pPr/>
            <w:r>
              <w:t xml:space="preserve">Not separately stated</w:t>
            </w:r>
          </w:p>
        </w:tc>
        <w:tc>
          <w:tcPr>
            <w:tcW w:w="4435" w:type="dxa"/>
          </w:tcPr>
          <w:p>
            <w:pPr/>
            <w:r>
              <w:t xml:space="preserve">Everything in Standard + priority seating in first cohorts, founding-member badge on certificate, rate honoured on repeat bookings "this term"</w:t>
            </w:r>
          </w:p>
        </w:tc>
      </w:tr>
    </w:tbl>
    <w:p>
      <w:pPr/>
      <w:r>
        <w:t xml:space="preserve">Volume discounts apply at standard rate only; each team member may take a different theme; discounts apply automatically at checkout or on proforma.</w:t>
      </w:r>
    </w:p>
    <w:p>
      <w:pPr>
        <w:pStyle w:val="Heading3"/>
      </w:pPr>
      <w:r>
        <w:t xml:space="preserve">FAQ content</w:t>
      </w:r>
    </w:p>
    <w:p>
      <w:pPr>
        <w:pStyle w:val="ListParagraph"/>
        <w:numPr>
          <w:ilvl w:val="0"/>
          <w:numId w:val="9"/>
        </w:numPr>
      </w:pPr>
      <w:r>
        <w:rPr>
          <w:b/>
        </w:rPr>
        <w:t xml:space="preserve">Length and timing?</w:t>
      </w:r>
      <w:r>
        <w:t xml:space="preserve"> One 4-hour block, 09:00–13:00, online; each theme runs once a month.</w:t>
      </w:r>
    </w:p>
    <w:p>
      <w:pPr>
        <w:pStyle w:val="ListParagraph"/>
        <w:numPr>
          <w:ilvl w:val="0"/>
          <w:numId w:val="9"/>
        </w:numPr>
      </w:pPr>
      <w:r>
        <w:rPr>
          <w:b/>
        </w:rPr>
        <w:t xml:space="preserve">What do I need?</w:t>
      </w:r>
      <w:r>
        <w:t xml:space="preserve"> Laptop, stable internet, free accounts on the session's tools; a setup checklist is sent beforehand; AnyDesk for screen support.</w:t>
      </w:r>
    </w:p>
    <w:p>
      <w:pPr>
        <w:pStyle w:val="ListParagraph"/>
        <w:numPr>
          <w:ilvl w:val="0"/>
          <w:numId w:val="9"/>
        </w:numPr>
      </w:pPr>
      <w:r>
        <w:rPr>
          <w:b/>
        </w:rPr>
        <w:t xml:space="preserve">Tools really free?</w:t>
      </w:r>
      <w:r>
        <w:t xml:space="preserve"> Yes: Claude, ChatGPT, Perplexity, NotebookLM, Gamma, Canva, Google Sheets.</w:t>
      </w:r>
    </w:p>
    <w:p>
      <w:pPr>
        <w:pStyle w:val="ListParagraph"/>
        <w:numPr>
          <w:ilvl w:val="0"/>
          <w:numId w:val="9"/>
        </w:numPr>
      </w:pPr>
      <w:r>
        <w:rPr>
          <w:b/>
        </w:rPr>
        <w:t xml:space="preserve">Validity and theme choice?</w:t>
      </w:r>
      <w:r>
        <w:t xml:space="preserve"> 60 days from purchase, any published date, any theme; buy four for the full set.</w:t>
      </w:r>
    </w:p>
    <w:p>
      <w:pPr>
        <w:pStyle w:val="ListParagraph"/>
        <w:numPr>
          <w:ilvl w:val="0"/>
          <w:numId w:val="9"/>
        </w:numPr>
      </w:pPr>
      <w:r>
        <w:rPr>
          <w:b/>
        </w:rPr>
        <w:t xml:space="preserve">Certificate?</w:t>
      </w:r>
      <w:r>
        <w:t xml:space="preserve"> Same-day, shareable, LinkedIn-ready digital certificate, plus 30 days' LMS access.</w:t>
      </w:r>
    </w:p>
    <w:p>
      <w:pPr>
        <w:pStyle w:val="ListParagraph"/>
        <w:numPr>
          <w:ilvl w:val="0"/>
          <w:numId w:val="9"/>
        </w:numPr>
      </w:pPr>
      <w:r>
        <w:rPr>
          <w:b/>
        </w:rPr>
        <w:t xml:space="preserve">EFT or teams?</w:t>
      </w:r>
      <w:r>
        <w:t xml:space="preserve"> Proforma valid 7 days, EFT; 5% from 5 vouchers, 10% from 10.</w:t>
      </w:r>
    </w:p>
    <w:p>
      <w:pPr/>
      <w:r>
        <w:t xml:space="preserve">The page never names the delivery platform in the body copy; only the meta description says Microsoft Teams.</w:t>
      </w:r>
    </w:p>
    <w:p>
      <w:pPr>
        <w:pStyle w:val="Heading2"/>
      </w:pPr>
      <w:r>
        <w:t xml:space="preserve">Page 3 — Education Excellence™ (/education/)</w:t>
      </w:r>
    </w:p>
    <w:p>
      <w:pPr/>
      <w:r>
        <w:t xml:space="preserve">The page sells on-site AI training for South African school staff, led by a single entry offer: SPARK, one half-day for up to 20 educators at R5,999 excl. VAT (R300 per educator), never discounted. Larger tiers run to MASTERY PLUS at R189,999, and any tier can be sponsored.</w:t>
      </w:r>
    </w:p>
    <w:p>
      <w:pPr>
        <w:pStyle w:val="Heading3"/>
      </w:pPr>
      <w:r>
        <w:t xml:space="preserve">Purpose and positioning</w:t>
      </w:r>
    </w:p>
    <w:p>
      <w:pPr>
        <w:pStyle w:val="ListParagraph"/>
        <w:numPr>
          <w:ilvl w:val="0"/>
          <w:numId w:val="10"/>
        </w:numPr>
      </w:pPr>
      <w:r>
        <w:rPr>
          <w:b/>
        </w:rPr>
        <w:t xml:space="preserve">Goal:</w:t>
      </w:r>
      <w:r>
        <w:t xml:space="preserve"> get schools to book a SPARK session (lead form), then scale them into multi-session tiers; secondary goal is sponsor acquisition.</w:t>
      </w:r>
    </w:p>
    <w:p>
      <w:pPr>
        <w:pStyle w:val="ListParagraph"/>
        <w:numPr>
          <w:ilvl w:val="0"/>
          <w:numId w:val="10"/>
        </w:numPr>
      </w:pPr>
      <w:r>
        <w:rPr>
          <w:b/>
        </w:rPr>
        <w:t xml:space="preserve">Audience:</w:t>
      </w:r>
      <w:r>
        <w:t xml:space="preserve"> principals, deputies, HODs, SMT members, teachers, administrators; also regional agents (a role option in the form) and corporate/foundation sponsors.</w:t>
      </w:r>
    </w:p>
    <w:p>
      <w:pPr>
        <w:pStyle w:val="ListParagraph"/>
        <w:numPr>
          <w:ilvl w:val="0"/>
          <w:numId w:val="10"/>
        </w:numPr>
      </w:pPr>
      <w:r>
        <w:rPr>
          <w:b/>
        </w:rPr>
        <w:t xml:space="preserve">Core message:</w:t>
      </w:r>
      <w:r>
        <w:t xml:space="preserve"> teachers lose evenings to admin; free AI tools give that time back. Schools are "behind" not from resistance but because nobody has shown them anything concrete.</w:t>
      </w:r>
    </w:p>
    <w:p>
      <w:pPr>
        <w:pStyle w:val="ListParagraph"/>
        <w:numPr>
          <w:ilvl w:val="0"/>
          <w:numId w:val="10"/>
        </w:numPr>
      </w:pPr>
      <w:r>
        <w:rPr>
          <w:b/>
        </w:rPr>
        <w:t xml:space="preserve">Differentiators:</w:t>
      </w:r>
      <w:r>
        <w:t xml:space="preserve"> delivered at the school by a trained regional facilitator; connectivity included (2 LTE routers on different networks); CAPS-aligned and POPIA-aware; free tools only; up to 20 staff; printed certificate useful for SACE points and school QA.</w:t>
      </w:r>
    </w:p>
    <w:p>
      <w:pPr>
        <w:pStyle w:val="ListParagraph"/>
        <w:numPr>
          <w:ilvl w:val="0"/>
          <w:numId w:val="10"/>
        </w:numPr>
      </w:pPr>
      <w:r>
        <w:rPr>
          <w:b/>
        </w:rPr>
        <w:t xml:space="preserve">SEO meta description:</w:t>
      </w:r>
      <w:r>
        <w:t xml:space="preserve"> "SPARK introductions from R5,999, TRANSFORM programmes from R139,999. 250+ CAPS-aligned activities across four streams." Page title: "Education Excellence".</w:t>
      </w:r>
    </w:p>
    <w:p>
      <w:pPr>
        <w:pStyle w:val="Heading3"/>
      </w:pPr>
      <w:r>
        <w:t xml:space="preserve">Section-by-section content</w:t>
      </w:r>
    </w:p>
    <w:p>
      <w:pPr>
        <w:pStyle w:val="ListParagraph"/>
        <w:numPr>
          <w:ilvl w:val="0"/>
          <w:numId w:val="11"/>
        </w:numPr>
      </w:pPr>
      <w:r>
        <w:rPr>
          <w:b/>
        </w:rPr>
        <w:t xml:space="preserve">Hero.</w:t>
      </w:r>
      <w:r>
        <w:t xml:space="preserve"> Eyebrow: "Education Excellence™ · School AI Capability Programme". H1: "You didn't become a teacher to spend your evenings on admin. AI can give them back." Sub: free AI tools to write faster, plan better and cut admin; delivered by a trained regional facilitator, everything included. CTAs: Book a SPARK session — R5,999 (#book), Explore the 4 streams (#streams).</w:t>
      </w:r>
    </w:p>
    <w:p>
      <w:pPr>
        <w:pStyle w:val="ListParagraph"/>
        <w:numPr>
          <w:ilvl w:val="0"/>
          <w:numId w:val="11"/>
        </w:numPr>
      </w:pPr>
      <w:r>
        <w:rPr>
          <w:b/>
        </w:rPr>
        <w:t xml:space="preserve">"Start here · scale when ready" price ladder:</w:t>
      </w:r>
      <w:r>
        <w:t xml:space="preserve"> SPARK R5,999 (one half-day, up to 20 staff, R300 per educator); DEEP DIVE R29,999; ALIGN R44,999; MASTERY R139,999; MASTERY PLUS R189,999.</w:t>
      </w:r>
    </w:p>
    <w:p>
      <w:pPr>
        <w:pStyle w:val="ListParagraph"/>
        <w:numPr>
          <w:ilvl w:val="0"/>
          <w:numId w:val="11"/>
        </w:numPr>
      </w:pPr>
      <w:r>
        <w:rPr>
          <w:b/>
        </w:rPr>
        <w:t xml:space="preserve">Stats strip:</w:t>
      </w:r>
      <w:r>
        <w:t xml:space="preserve"> 4 curriculum streams · 10 courses per stream · 250+ activities · 20 staff per session.</w:t>
      </w:r>
    </w:p>
    <w:p>
      <w:pPr>
        <w:pStyle w:val="ListParagraph"/>
        <w:numPr>
          <w:ilvl w:val="0"/>
          <w:numId w:val="11"/>
        </w:numPr>
      </w:pPr>
      <w:r>
        <w:rPr>
          <w:b/>
        </w:rPr>
        <w:t xml:space="preserve">SPARK detail.</w:t>
      </w:r>
      <w:r>
        <w:t xml:space="preserve"> Heading: "One half-day. Your staff see what AI can actually do." Educators see three or four AI tools do real school tasks (lesson planning, report writing, communication drafts); no subscriptions, no IT changes, no further commitment. Card inclusions: at your school; up to 20 participants; 2 LTE routers; course materials and stationery; free AI tools; printed certificate per participant. Note: "SPARK is never discounted — every school pays the same price."</w:t>
      </w:r>
    </w:p>
    <w:p>
      <w:pPr>
        <w:pStyle w:val="ListParagraph"/>
        <w:numPr>
          <w:ilvl w:val="0"/>
          <w:numId w:val="11"/>
        </w:numPr>
      </w:pPr>
      <w:r>
        <w:rPr>
          <w:b/>
        </w:rPr>
        <w:t xml:space="preserve">Four curriculum streams</w:t>
      </w:r>
      <w:r>
        <w:t xml:space="preserve"> (table below). Each stream has 10 courses and about 67 activities; stream choice happens in the first conversation with the regional representative.</w:t>
      </w:r>
    </w:p>
    <w:p>
      <w:pPr>
        <w:pStyle w:val="ListParagraph"/>
        <w:numPr>
          <w:ilvl w:val="0"/>
          <w:numId w:val="11"/>
        </w:numPr>
      </w:pPr>
      <w:r>
        <w:rPr>
          <w:b/>
        </w:rPr>
        <w:t xml:space="preserve">Why it's different</w:t>
      </w:r>
      <w:r>
        <w:t xml:space="preserve"> — six cards: delivered at your school; connectivity included; built for the SA classroom (CAPS, POPIA, school reports, parent communications, SACE, school admin); free tools only (ChatGPT, Claude, Gemini, NotebookLM, Canva, Gamma); up to 20 staff (R300 per educator); certificate for every participant.</w:t>
      </w:r>
    </w:p>
    <w:p>
      <w:pPr>
        <w:pStyle w:val="ListParagraph"/>
        <w:numPr>
          <w:ilvl w:val="0"/>
          <w:numId w:val="11"/>
        </w:numPr>
      </w:pPr>
      <w:r>
        <w:rPr>
          <w:b/>
        </w:rPr>
        <w:t xml:space="preserve">Programme tiers</w:t>
      </w:r>
      <w:r>
        <w:t xml:space="preserve"> (table below) with discount rule: SPARK never discounted; other tiers 5% for 5–9 sessions, 10% for 10+, "maximum 20%, centrally approved".</w:t>
      </w:r>
    </w:p>
    <w:p>
      <w:pPr>
        <w:pStyle w:val="ListParagraph"/>
        <w:numPr>
          <w:ilvl w:val="0"/>
          <w:numId w:val="11"/>
        </w:numPr>
      </w:pPr>
      <w:r>
        <w:rPr>
          <w:b/>
        </w:rPr>
        <w:t xml:space="preserve">FAQ</w:t>
      </w:r>
      <w:r>
        <w:t xml:space="preserve"> (6 questions, summarised below).</w:t>
      </w:r>
    </w:p>
    <w:p>
      <w:pPr>
        <w:pStyle w:val="ListParagraph"/>
        <w:numPr>
          <w:ilvl w:val="0"/>
          <w:numId w:val="11"/>
        </w:numPr>
      </w:pPr>
      <w:r>
        <w:rPr>
          <w:b/>
        </w:rPr>
        <w:t xml:space="preserve">Booking section.</w:t>
      </w:r>
      <w:r>
        <w:t xml:space="preserve"> Heading: "Complete your details. We're in touch within 2 business days." Three info tiles: pay online via Yoco (card or EFT, voucher issued immediately); request a proforma (valid 7 days, VAT invoice on payment); delivered anywhere in South Africa. Form fields: school name*, your name*, role (Principal, Deputy Principal, HOD, SMT Member, Teacher, Administrator, Regional Agent), email*, cell number, province (all nine), programme tier (five tiers + Not sure yet), preferred stream (decide with representative, AIM, COM, EPD, ADM). Button: Book your session. Footnote: respond within 2 business days; SPARK never discounted.</w:t>
      </w:r>
    </w:p>
    <w:p>
      <w:pPr>
        <w:pStyle w:val="ListParagraph"/>
        <w:numPr>
          <w:ilvl w:val="0"/>
          <w:numId w:val="11"/>
        </w:numPr>
      </w:pPr>
      <w:r>
        <w:rPr>
          <w:b/>
        </w:rPr>
        <w:t xml:space="preserve">Sponsor a school.</w:t>
      </w:r>
      <w:r>
        <w:t xml:space="preserve"> "Give a school its first step into AI." Corporates, foundations or individuals can sponsor any tier; matched by region and need. CTAs: Sponsor a school (/sponsor/), Book a SPARK session.</w:t>
      </w:r>
    </w:p>
    <w:p>
      <w:pPr>
        <w:pStyle w:val="Heading3"/>
      </w:pPr>
      <w:r>
        <w:t xml:space="preserve">The four curriculum streams</w:t>
      </w:r>
    </w:p>
    <w:tbl>
      <w:tblPr>
        <w:tblStyle w:val="TableGrid"/>
        <w:tblW w:w="0" w:type="auto"/>
        <w:tblLayout w:type="fixed"/>
        <w:tblLook w:val="04A0" w:firstRow="1" w:lastRow="0" w:firstColumn="0" w:lastColumn="0" w:noHBand="0" w:noVBand="1"/>
      </w:tblPr>
      <w:tblGrid>
        <w:gridCol w:w="756"/>
        <w:gridCol w:w="1872"/>
        <w:gridCol w:w="4454"/>
        <w:gridCol w:w="2278"/>
      </w:tblGrid>
      <w:tr>
        <w:trPr>
          <w:tblHeader/>
        </w:trPr>
        <w:tc>
          <w:tcPr>
            <w:tcW w:w="756" w:type="dxa"/>
            <w:shd w:val="clear" w:color="auto" w:fill="F2F2F2"/>
          </w:tcPr>
          <w:p>
            <w:pPr/>
            <w:r>
              <w:t xml:space="preserve">Code</w:t>
            </w:r>
          </w:p>
        </w:tc>
        <w:tc>
          <w:tcPr>
            <w:tcW w:w="1872" w:type="dxa"/>
            <w:shd w:val="clear" w:color="auto" w:fill="F2F2F2"/>
          </w:tcPr>
          <w:p>
            <w:pPr/>
            <w:r>
              <w:t xml:space="preserve">Stream</w:t>
            </w:r>
          </w:p>
        </w:tc>
        <w:tc>
          <w:tcPr>
            <w:tcW w:w="4454" w:type="dxa"/>
            <w:shd w:val="clear" w:color="auto" w:fill="F2F2F2"/>
          </w:tcPr>
          <w:p>
            <w:pPr/>
            <w:r>
              <w:t xml:space="preserve">Covers</w:t>
            </w:r>
          </w:p>
        </w:tc>
        <w:tc>
          <w:tcPr>
            <w:tcW w:w="2278" w:type="dxa"/>
            <w:shd w:val="clear" w:color="auto" w:fill="F2F2F2"/>
          </w:tcPr>
          <w:p>
            <w:pPr/>
            <w:r>
              <w:t xml:space="preserve">Best for</w:t>
            </w:r>
          </w:p>
        </w:tc>
      </w:tr>
      <w:tr>
        <w:tc>
          <w:tcPr>
            <w:tcW w:w="756" w:type="dxa"/>
          </w:tcPr>
          <w:p>
            <w:pPr/>
            <w:r>
              <w:t xml:space="preserve">AIM</w:t>
            </w:r>
          </w:p>
        </w:tc>
        <w:tc>
          <w:tcPr>
            <w:tcW w:w="1872" w:type="dxa"/>
          </w:tcPr>
          <w:p>
            <w:pPr/>
            <w:r>
              <w:t xml:space="preserve">Assessment Intelligence</w:t>
            </w:r>
          </w:p>
        </w:tc>
        <w:tc>
          <w:tcPr>
            <w:tcW w:w="4454" w:type="dxa"/>
          </w:tcPr>
          <w:p>
            <w:pPr/>
            <w:r>
              <w:t xml:space="preserve">Assessing learner performance, report comments, data-informed teaching, full POPIA compliance</w:t>
            </w:r>
          </w:p>
        </w:tc>
        <w:tc>
          <w:tcPr>
            <w:tcW w:w="2278" w:type="dxa"/>
          </w:tcPr>
          <w:p>
            <w:pPr/>
            <w:r>
              <w:t xml:space="preserve">Classroom teachers, HODs, assessment coordinators</w:t>
            </w:r>
          </w:p>
        </w:tc>
      </w:tr>
      <w:tr>
        <w:tc>
          <w:tcPr>
            <w:tcW w:w="756" w:type="dxa"/>
          </w:tcPr>
          <w:p>
            <w:pPr/>
            <w:r>
              <w:t xml:space="preserve">COM</w:t>
            </w:r>
          </w:p>
        </w:tc>
        <w:tc>
          <w:tcPr>
            <w:tcW w:w="1872" w:type="dxa"/>
          </w:tcPr>
          <w:p>
            <w:pPr/>
            <w:r>
              <w:t xml:space="preserve">Communication</w:t>
            </w:r>
          </w:p>
        </w:tc>
        <w:tc>
          <w:tcPr>
            <w:tcW w:w="4454" w:type="dxa"/>
          </w:tcPr>
          <w:p>
            <w:pPr/>
            <w:r>
              <w:t xml:space="preserve">Parent letters, newsletters, SGB reports, social media in the school's voice; principal sign-off required for external comms</w:t>
            </w:r>
          </w:p>
        </w:tc>
        <w:tc>
          <w:tcPr>
            <w:tcW w:w="2278" w:type="dxa"/>
          </w:tcPr>
          <w:p>
            <w:pPr/>
            <w:r>
              <w:t xml:space="preserve">Principals, deputies, communication leads</w:t>
            </w:r>
          </w:p>
        </w:tc>
      </w:tr>
      <w:tr>
        <w:tc>
          <w:tcPr>
            <w:tcW w:w="756" w:type="dxa"/>
          </w:tcPr>
          <w:p>
            <w:pPr/>
            <w:r>
              <w:t xml:space="preserve">EPD</w:t>
            </w:r>
          </w:p>
        </w:tc>
        <w:tc>
          <w:tcPr>
            <w:tcW w:w="1872" w:type="dxa"/>
          </w:tcPr>
          <w:p>
            <w:pPr/>
            <w:r>
              <w:t xml:space="preserve">Educator Productivity</w:t>
            </w:r>
          </w:p>
        </w:tc>
        <w:tc>
          <w:tcPr>
            <w:tcW w:w="4454" w:type="dxa"/>
          </w:tcPr>
          <w:p>
            <w:pPr/>
            <w:r>
              <w:t xml:space="preserve">Lesson planning, resource creation, daily teaching workflows</w:t>
            </w:r>
          </w:p>
        </w:tc>
        <w:tc>
          <w:tcPr>
            <w:tcW w:w="2278" w:type="dxa"/>
          </w:tcPr>
          <w:p>
            <w:pPr/>
            <w:r>
              <w:t xml:space="preserve">Classroom educators</w:t>
            </w:r>
          </w:p>
        </w:tc>
      </w:tr>
      <w:tr>
        <w:tc>
          <w:tcPr>
            <w:tcW w:w="756" w:type="dxa"/>
          </w:tcPr>
          <w:p>
            <w:pPr/>
            <w:r>
              <w:t xml:space="preserve">ADM</w:t>
            </w:r>
          </w:p>
        </w:tc>
        <w:tc>
          <w:tcPr>
            <w:tcW w:w="1872" w:type="dxa"/>
          </w:tcPr>
          <w:p>
            <w:pPr/>
            <w:r>
              <w:t xml:space="preserve">School Administration</w:t>
            </w:r>
          </w:p>
        </w:tc>
        <w:tc>
          <w:tcPr>
            <w:tcW w:w="4454" w:type="dxa"/>
          </w:tcPr>
          <w:p>
            <w:pPr/>
            <w:r>
              <w:t xml:space="preserve">Admin, scheduling, policy documents, operational communication</w:t>
            </w:r>
          </w:p>
        </w:tc>
        <w:tc>
          <w:tcPr>
            <w:tcW w:w="2278" w:type="dxa"/>
          </w:tcPr>
          <w:p>
            <w:pPr/>
            <w:r>
              <w:t xml:space="preserve">SMT members, administrators, operations staff</w:t>
            </w:r>
          </w:p>
        </w:tc>
      </w:tr>
    </w:tbl>
    <w:p>
      <w:pPr>
        <w:pStyle w:val="Heading3"/>
      </w:pPr>
      <w:r>
        <w:t xml:space="preserve">Programme tiers</w:t>
      </w:r>
    </w:p>
    <w:tbl>
      <w:tblPr>
        <w:tblStyle w:val="TableGrid"/>
        <w:tblW w:w="0" w:type="auto"/>
        <w:tblLayout w:type="fixed"/>
        <w:tblLook w:val="04A0" w:firstRow="1" w:lastRow="0" w:firstColumn="0" w:lastColumn="0" w:noHBand="0" w:noVBand="1"/>
      </w:tblPr>
      <w:tblGrid>
        <w:gridCol w:w="1483"/>
        <w:gridCol w:w="1266"/>
        <w:gridCol w:w="3559"/>
        <w:gridCol w:w="1470"/>
        <w:gridCol w:w="1582"/>
      </w:tblGrid>
      <w:tr>
        <w:trPr>
          <w:tblHeader/>
        </w:trPr>
        <w:tc>
          <w:tcPr>
            <w:tcW w:w="1483" w:type="dxa"/>
            <w:shd w:val="clear" w:color="auto" w:fill="F2F2F2"/>
          </w:tcPr>
          <w:p>
            <w:pPr/>
            <w:r>
              <w:t xml:space="preserve">Tier</w:t>
            </w:r>
          </w:p>
        </w:tc>
        <w:tc>
          <w:tcPr>
            <w:tcW w:w="1266" w:type="dxa"/>
            <w:shd w:val="clear" w:color="auto" w:fill="F2F2F2"/>
          </w:tcPr>
          <w:p>
            <w:pPr/>
            <w:r>
              <w:t xml:space="preserve">Sessions</w:t>
            </w:r>
          </w:p>
        </w:tc>
        <w:tc>
          <w:tcPr>
            <w:tcW w:w="3559" w:type="dxa"/>
            <w:shd w:val="clear" w:color="auto" w:fill="F2F2F2"/>
          </w:tcPr>
          <w:p>
            <w:pPr/>
            <w:r>
              <w:t xml:space="preserve">Description</w:t>
            </w:r>
          </w:p>
        </w:tc>
        <w:tc>
          <w:tcPr>
            <w:tcW w:w="1470" w:type="dxa"/>
            <w:shd w:val="clear" w:color="auto" w:fill="F2F2F2"/>
          </w:tcPr>
          <w:p>
            <w:pPr/>
            <w:r>
              <w:t xml:space="preserve">Price (excl. VAT)</w:t>
            </w:r>
          </w:p>
        </w:tc>
        <w:tc>
          <w:tcPr>
            <w:tcW w:w="1582" w:type="dxa"/>
            <w:shd w:val="clear" w:color="auto" w:fill="F2F2F2"/>
          </w:tcPr>
          <w:p>
            <w:pPr/>
            <w:r>
              <w:t xml:space="preserve">Discountable</w:t>
            </w:r>
          </w:p>
        </w:tc>
      </w:tr>
      <w:tr>
        <w:tc>
          <w:tcPr>
            <w:tcW w:w="1483" w:type="dxa"/>
          </w:tcPr>
          <w:p>
            <w:pPr/>
            <w:r>
              <w:t xml:space="preserve">SPARK</w:t>
            </w:r>
          </w:p>
        </w:tc>
        <w:tc>
          <w:tcPr>
            <w:tcW w:w="1266" w:type="dxa"/>
          </w:tcPr>
          <w:p>
            <w:pPr/>
            <w:r>
              <w:t xml:space="preserve">1 half-day</w:t>
            </w:r>
          </w:p>
        </w:tc>
        <w:tc>
          <w:tcPr>
            <w:tcW w:w="3559" w:type="dxa"/>
          </w:tcPr>
          <w:p>
            <w:pPr/>
            <w:r>
              <w:t xml:space="preserve">Entry point, up to 20 staff</w:t>
            </w:r>
          </w:p>
        </w:tc>
        <w:tc>
          <w:tcPr>
            <w:tcW w:w="1470" w:type="dxa"/>
          </w:tcPr>
          <w:p>
            <w:pPr/>
            <w:r>
              <w:t xml:space="preserve">R5,999</w:t>
            </w:r>
          </w:p>
        </w:tc>
        <w:tc>
          <w:tcPr>
            <w:tcW w:w="1582" w:type="dxa"/>
          </w:tcPr>
          <w:p>
            <w:pPr/>
            <w:r>
              <w:t xml:space="preserve">Never</w:t>
            </w:r>
          </w:p>
        </w:tc>
      </w:tr>
      <w:tr>
        <w:tc>
          <w:tcPr>
            <w:tcW w:w="1483" w:type="dxa"/>
          </w:tcPr>
          <w:p>
            <w:pPr/>
            <w:r>
              <w:t xml:space="preserve">DEEP DIVE</w:t>
            </w:r>
          </w:p>
        </w:tc>
        <w:tc>
          <w:tcPr>
            <w:tcW w:w="1266" w:type="dxa"/>
          </w:tcPr>
          <w:p>
            <w:pPr/>
            <w:r>
              <w:t xml:space="preserve">2</w:t>
            </w:r>
          </w:p>
        </w:tc>
        <w:tc>
          <w:tcPr>
            <w:tcW w:w="3559" w:type="dxa"/>
          </w:tcPr>
          <w:p>
            <w:pPr/>
            <w:r>
              <w:t xml:space="preserve">Real working habits</w:t>
            </w:r>
          </w:p>
        </w:tc>
        <w:tc>
          <w:tcPr>
            <w:tcW w:w="1470" w:type="dxa"/>
          </w:tcPr>
          <w:p>
            <w:pPr/>
            <w:r>
              <w:t xml:space="preserve">R29,999</w:t>
            </w:r>
          </w:p>
        </w:tc>
        <w:tc>
          <w:tcPr>
            <w:tcW w:w="1582" w:type="dxa"/>
          </w:tcPr>
          <w:p>
            <w:pPr/>
            <w:r>
              <w:t xml:space="preserve">Yes</w:t>
            </w:r>
          </w:p>
        </w:tc>
      </w:tr>
      <w:tr>
        <w:tc>
          <w:tcPr>
            <w:tcW w:w="1483" w:type="dxa"/>
          </w:tcPr>
          <w:p>
            <w:pPr/>
            <w:r>
              <w:t xml:space="preserve">ALIGN</w:t>
            </w:r>
          </w:p>
        </w:tc>
        <w:tc>
          <w:tcPr>
            <w:tcW w:w="1266" w:type="dxa"/>
          </w:tcPr>
          <w:p>
            <w:pPr/>
            <w:r>
              <w:t xml:space="preserve">3</w:t>
            </w:r>
          </w:p>
        </w:tc>
        <w:tc>
          <w:tcPr>
            <w:tcW w:w="3559" w:type="dxa"/>
          </w:tcPr>
          <w:p>
            <w:pPr/>
            <w:r>
              <w:t xml:space="preserve">Departmental practice</w:t>
            </w:r>
          </w:p>
        </w:tc>
        <w:tc>
          <w:tcPr>
            <w:tcW w:w="1470" w:type="dxa"/>
          </w:tcPr>
          <w:p>
            <w:pPr/>
            <w:r>
              <w:t xml:space="preserve">R44,999</w:t>
            </w:r>
          </w:p>
        </w:tc>
        <w:tc>
          <w:tcPr>
            <w:tcW w:w="1582" w:type="dxa"/>
          </w:tcPr>
          <w:p>
            <w:pPr/>
            <w:r>
              <w:t xml:space="preserve">Yes</w:t>
            </w:r>
          </w:p>
        </w:tc>
      </w:tr>
      <w:tr>
        <w:tc>
          <w:tcPr>
            <w:tcW w:w="1483" w:type="dxa"/>
          </w:tcPr>
          <w:p>
            <w:pPr/>
            <w:r>
              <w:t xml:space="preserve">MASTERY</w:t>
            </w:r>
          </w:p>
        </w:tc>
        <w:tc>
          <w:tcPr>
            <w:tcW w:w="1266" w:type="dxa"/>
          </w:tcPr>
          <w:p>
            <w:pPr/>
            <w:r>
              <w:t xml:space="preserve">10</w:t>
            </w:r>
          </w:p>
        </w:tc>
        <w:tc>
          <w:tcPr>
            <w:tcW w:w="3559" w:type="dxa"/>
          </w:tcPr>
          <w:p>
            <w:pPr/>
            <w:r>
              <w:t xml:space="preserve">Full programme</w:t>
            </w:r>
          </w:p>
        </w:tc>
        <w:tc>
          <w:tcPr>
            <w:tcW w:w="1470" w:type="dxa"/>
          </w:tcPr>
          <w:p>
            <w:pPr/>
            <w:r>
              <w:t xml:space="preserve">R139,999</w:t>
            </w:r>
          </w:p>
        </w:tc>
        <w:tc>
          <w:tcPr>
            <w:tcW w:w="1582" w:type="dxa"/>
          </w:tcPr>
          <w:p>
            <w:pPr/>
            <w:r>
              <w:t xml:space="preserve">Yes</w:t>
            </w:r>
          </w:p>
        </w:tc>
      </w:tr>
      <w:tr>
        <w:tc>
          <w:tcPr>
            <w:tcW w:w="1483" w:type="dxa"/>
          </w:tcPr>
          <w:p>
            <w:pPr/>
            <w:r>
              <w:t xml:space="preserve">MASTERY PLUS</w:t>
            </w:r>
          </w:p>
        </w:tc>
        <w:tc>
          <w:tcPr>
            <w:tcW w:w="1266" w:type="dxa"/>
          </w:tcPr>
          <w:p>
            <w:pPr/>
            <w:r>
              <w:t xml:space="preserve">10</w:t>
            </w:r>
          </w:p>
        </w:tc>
        <w:tc>
          <w:tcPr>
            <w:tcW w:w="3559" w:type="dxa"/>
          </w:tcPr>
          <w:p>
            <w:pPr/>
            <w:r>
              <w:t xml:space="preserve">Plus on-site customisation and 3 days of alignment consulting</w:t>
            </w:r>
          </w:p>
        </w:tc>
        <w:tc>
          <w:tcPr>
            <w:tcW w:w="1470" w:type="dxa"/>
          </w:tcPr>
          <w:p>
            <w:pPr/>
            <w:r>
              <w:t xml:space="preserve">R189,999</w:t>
            </w:r>
          </w:p>
        </w:tc>
        <w:tc>
          <w:tcPr>
            <w:tcW w:w="1582" w:type="dxa"/>
          </w:tcPr>
          <w:p>
            <w:pPr/>
            <w:r>
              <w:t xml:space="preserve">Yes</w:t>
            </w:r>
          </w:p>
        </w:tc>
      </w:tr>
    </w:tbl>
    <w:p>
      <w:pPr>
        <w:pStyle w:val="Heading3"/>
      </w:pPr>
      <w:r>
        <w:t xml:space="preserve">FAQ content</w:t>
      </w:r>
    </w:p>
    <w:p>
      <w:pPr>
        <w:pStyle w:val="ListParagraph"/>
        <w:numPr>
          <w:ilvl w:val="0"/>
          <w:numId w:val="12"/>
        </w:numPr>
      </w:pPr>
      <w:r>
        <w:rPr>
          <w:b/>
        </w:rPr>
        <w:t xml:space="preserve">Connectivity really included?</w:t>
      </w:r>
      <w:r>
        <w:t xml:space="preserve"> Yes; two LTE routers travel with the facilitator; school WiFi not needed.</w:t>
      </w:r>
    </w:p>
    <w:p>
      <w:pPr>
        <w:pStyle w:val="ListParagraph"/>
        <w:numPr>
          <w:ilvl w:val="0"/>
          <w:numId w:val="12"/>
        </w:numPr>
      </w:pPr>
      <w:r>
        <w:rPr>
          <w:b/>
        </w:rPr>
        <w:t xml:space="preserve">How many staff?</w:t>
      </w:r>
      <w:r>
        <w:t xml:space="preserve"> Up to 20 per session; larger schools can book multiple sessions.</w:t>
      </w:r>
    </w:p>
    <w:p>
      <w:pPr>
        <w:pStyle w:val="ListParagraph"/>
        <w:numPr>
          <w:ilvl w:val="0"/>
          <w:numId w:val="12"/>
        </w:numPr>
      </w:pPr>
      <w:r>
        <w:rPr>
          <w:b/>
        </w:rPr>
        <w:t xml:space="preserve">Choose a stream first?</w:t>
      </w:r>
      <w:r>
        <w:t xml:space="preserve"> No; decided with the regional representative.</w:t>
      </w:r>
    </w:p>
    <w:p>
      <w:pPr>
        <w:pStyle w:val="ListParagraph"/>
        <w:numPr>
          <w:ilvl w:val="0"/>
          <w:numId w:val="12"/>
        </w:numPr>
      </w:pPr>
      <w:r>
        <w:rPr>
          <w:b/>
        </w:rPr>
        <w:t xml:space="preserve">SPARK never discounted?</w:t>
      </w:r>
      <w:r>
        <w:t xml:space="preserve"> Correct; described as a deliberate equity decision; discounts only on DEEP DIVE and above, centrally approved.</w:t>
      </w:r>
    </w:p>
    <w:p>
      <w:pPr>
        <w:pStyle w:val="ListParagraph"/>
        <w:numPr>
          <w:ilvl w:val="0"/>
          <w:numId w:val="12"/>
        </w:numPr>
      </w:pPr>
      <w:r>
        <w:rPr>
          <w:b/>
        </w:rPr>
        <w:t xml:space="preserve">Which tools?</w:t>
      </w:r>
      <w:r>
        <w:t xml:space="preserve"> ChatGPT, Claude, Gemini, NotebookLM, Canva, Gamma; no licences, subscriptions or IT procurement.</w:t>
      </w:r>
    </w:p>
    <w:p>
      <w:pPr>
        <w:pStyle w:val="ListParagraph"/>
        <w:numPr>
          <w:ilvl w:val="0"/>
          <w:numId w:val="12"/>
        </w:numPr>
      </w:pPr>
      <w:r>
        <w:rPr>
          <w:b/>
        </w:rPr>
        <w:t xml:space="preserve">Sponsorship?</w:t>
      </w:r>
      <w:r>
        <w:t xml:space="preserve"> Any tier; note it in the booking form (the form has no sponsorship field).</w:t>
      </w:r>
    </w:p>
    <w:p>
      <w:pPr>
        <w:pStyle w:val="Heading2"/>
      </w:pPr>
      <w:r>
        <w:t xml:space="preserve">Inconsistencies, risks and recommended fixes</w:t>
      </w:r>
    </w:p>
    <w:p>
      <w:pPr/>
      <w:r>
        <w:t xml:space="preserve">Fifteen issues were found; the five most urgent are a contradictory discount schedule on AI Advantage, a stale April–May schedule on Express, conflicting Express voucher validity (60 vs 90 days), named Express testimonials that need verifying, and an Education meta description advertising a tier the page doesn't show. Items marked "internal spec" compare the live page against the Academy's own product specs.</w:t>
      </w:r>
    </w:p>
    <w:tbl>
      <w:tblPr>
        <w:tblStyle w:val="TableGrid"/>
        <w:tblW w:w="0" w:type="auto"/>
        <w:tblLayout w:type="fixed"/>
        <w:tblLook w:val="04A0" w:firstRow="1" w:lastRow="0" w:firstColumn="0" w:lastColumn="0" w:noHBand="0" w:noVBand="1"/>
      </w:tblPr>
      <w:tblGrid>
        <w:gridCol w:w="720"/>
        <w:gridCol w:w="1305"/>
        <w:gridCol w:w="4349"/>
        <w:gridCol w:w="2986"/>
      </w:tblGrid>
      <w:tr>
        <w:trPr>
          <w:tblHeader/>
        </w:trPr>
        <w:tc>
          <w:tcPr>
            <w:tcW w:w="720" w:type="dxa"/>
            <w:shd w:val="clear" w:color="auto" w:fill="F2F2F2"/>
          </w:tcPr>
          <w:p>
            <w:pPr/>
            <w:r>
              <w:t xml:space="preserve">#</w:t>
            </w:r>
          </w:p>
        </w:tc>
        <w:tc>
          <w:tcPr>
            <w:tcW w:w="1305" w:type="dxa"/>
            <w:shd w:val="clear" w:color="auto" w:fill="F2F2F2"/>
          </w:tcPr>
          <w:p>
            <w:pPr/>
            <w:r>
              <w:t xml:space="preserve">Page</w:t>
            </w:r>
          </w:p>
        </w:tc>
        <w:tc>
          <w:tcPr>
            <w:tcW w:w="4349" w:type="dxa"/>
            <w:shd w:val="clear" w:color="auto" w:fill="F2F2F2"/>
          </w:tcPr>
          <w:p>
            <w:pPr/>
            <w:r>
              <w:t xml:space="preserve">Issue</w:t>
            </w:r>
          </w:p>
        </w:tc>
        <w:tc>
          <w:tcPr>
            <w:tcW w:w="2986" w:type="dxa"/>
            <w:shd w:val="clear" w:color="auto" w:fill="F2F2F2"/>
          </w:tcPr>
          <w:p>
            <w:pPr/>
            <w:r>
              <w:t xml:space="preserve">Recommended fix</w:t>
            </w:r>
          </w:p>
        </w:tc>
      </w:tr>
      <w:tr>
        <w:tc>
          <w:tcPr>
            <w:tcW w:w="720" w:type="dxa"/>
          </w:tcPr>
          <w:p>
            <w:pPr/>
            <w:r>
              <w:t xml:space="preserve">1</w:t>
            </w:r>
          </w:p>
        </w:tc>
        <w:tc>
          <w:tcPr>
            <w:tcW w:w="1305" w:type="dxa"/>
          </w:tcPr>
          <w:p>
            <w:pPr/>
            <w:r>
              <w:t xml:space="preserve">AI Advantage</w:t>
            </w:r>
          </w:p>
        </w:tc>
        <w:tc>
          <w:tcPr>
            <w:tcW w:w="4349" w:type="dxa"/>
          </w:tcPr>
          <w:p>
            <w:pPr/>
            <w:r>
              <w:t xml:space="preserve">FAQ states team discounts of 10% / 15% / 25%; the pricing table shows 20% / 24% / 33% (R7,199 / R6,799 / R5,999). The Academy's standard voucher rule is 5% for 5–9 and 10% for 10+ (internal spec).</w:t>
            </w:r>
          </w:p>
        </w:tc>
        <w:tc>
          <w:tcPr>
            <w:tcW w:w="2986" w:type="dxa"/>
          </w:tcPr>
          <w:p>
            <w:pPr/>
            <w:r>
              <w:t xml:space="preserve">Pick one schedule and apply it to the table, the FAQ and checkout logic. A CPA-visible price conflict invites disputes.</w:t>
            </w:r>
          </w:p>
        </w:tc>
      </w:tr>
      <w:tr>
        <w:tc>
          <w:tcPr>
            <w:tcW w:w="720" w:type="dxa"/>
          </w:tcPr>
          <w:p>
            <w:pPr/>
            <w:r>
              <w:t xml:space="preserve">2</w:t>
            </w:r>
          </w:p>
        </w:tc>
        <w:tc>
          <w:tcPr>
            <w:tcW w:w="1305" w:type="dxa"/>
          </w:tcPr>
          <w:p>
            <w:pPr/>
            <w:r>
              <w:t xml:space="preserve">Express</w:t>
            </w:r>
          </w:p>
        </w:tc>
        <w:tc>
          <w:tcPr>
            <w:tcW w:w="4349" w:type="dxa"/>
          </w:tcPr>
          <w:p>
            <w:pPr/>
            <w:r>
              <w:t xml:space="preserve">Schedule shows Apr 12, Apr 26, May 10, May 24, all past as of 24 Oct 2026. Those dates fall on Sundays in 2026 (Saturdays in 2025), while cards say "Monthly · Saturdays". All are tagged "Live".</w:t>
            </w:r>
          </w:p>
        </w:tc>
        <w:tc>
          <w:tcPr>
            <w:tcW w:w="2986" w:type="dxa"/>
          </w:tcPr>
          <w:p>
            <w:pPr/>
            <w:r>
              <w:t xml:space="preserve">Replace with upcoming Saturday dates, or pull dynamically from The Events Calendar.</w:t>
            </w:r>
          </w:p>
        </w:tc>
      </w:tr>
      <w:tr>
        <w:tc>
          <w:tcPr>
            <w:tcW w:w="720" w:type="dxa"/>
          </w:tcPr>
          <w:p>
            <w:pPr/>
            <w:r>
              <w:t xml:space="preserve">3</w:t>
            </w:r>
          </w:p>
        </w:tc>
        <w:tc>
          <w:tcPr>
            <w:tcW w:w="1305" w:type="dxa"/>
          </w:tcPr>
          <w:p>
            <w:pPr/>
            <w:r>
              <w:t xml:space="preserve">Express</w:t>
            </w:r>
          </w:p>
        </w:tc>
        <w:tc>
          <w:tcPr>
            <w:tcW w:w="4349" w:type="dxa"/>
          </w:tcPr>
          <w:p>
            <w:pPr/>
            <w:r>
              <w:t xml:space="preserve">Voucher validity: body and FAQ say 60 days; meta description says "within 90 days"; internal spec says 90 days.</w:t>
            </w:r>
          </w:p>
        </w:tc>
        <w:tc>
          <w:tcPr>
            <w:tcW w:w="2986" w:type="dxa"/>
          </w:tcPr>
          <w:p>
            <w:pPr/>
            <w:r>
              <w:t xml:space="preserve">Settle on one figure and update meta, hero, pricing card and FAQ. Expiry must be disclosed consistently at sale under the CPA.</w:t>
            </w:r>
          </w:p>
        </w:tc>
      </w:tr>
      <w:tr>
        <w:tc>
          <w:tcPr>
            <w:tcW w:w="720" w:type="dxa"/>
          </w:tcPr>
          <w:p>
            <w:pPr/>
            <w:r>
              <w:t xml:space="preserve">4</w:t>
            </w:r>
          </w:p>
        </w:tc>
        <w:tc>
          <w:tcPr>
            <w:tcW w:w="1305" w:type="dxa"/>
          </w:tcPr>
          <w:p>
            <w:pPr/>
            <w:r>
              <w:t xml:space="preserve">Express</w:t>
            </w:r>
          </w:p>
        </w:tc>
        <w:tc>
          <w:tcPr>
            <w:tcW w:w="4349" w:type="dxa"/>
          </w:tcPr>
          <w:p>
            <w:pPr/>
            <w:r>
              <w:t xml:space="preserve">Six named testimonials (with city and session code). The Academy's internal notes record only one delivery to date, the Jordan retreat.</w:t>
            </w:r>
          </w:p>
        </w:tc>
        <w:tc>
          <w:tcPr>
            <w:tcW w:w="2986" w:type="dxa"/>
          </w:tcPr>
          <w:p>
            <w:pPr/>
            <w:r>
              <w:t xml:space="preserve">Confirm each is a real participant with consent to publish; if they are placeholders, remove them. Invented reviews create CPA misrepresentation and reputational risk.</w:t>
            </w:r>
          </w:p>
        </w:tc>
      </w:tr>
      <w:tr>
        <w:tc>
          <w:tcPr>
            <w:tcW w:w="720" w:type="dxa"/>
          </w:tcPr>
          <w:p>
            <w:pPr/>
            <w:r>
              <w:t xml:space="preserve">5</w:t>
            </w:r>
          </w:p>
        </w:tc>
        <w:tc>
          <w:tcPr>
            <w:tcW w:w="1305" w:type="dxa"/>
          </w:tcPr>
          <w:p>
            <w:pPr/>
            <w:r>
              <w:t xml:space="preserve">Education</w:t>
            </w:r>
          </w:p>
        </w:tc>
        <w:tc>
          <w:tcPr>
            <w:tcW w:w="4349" w:type="dxa"/>
          </w:tcPr>
          <w:p>
            <w:pPr/>
            <w:r>
              <w:t xml:space="preserve">Meta description advertises "TRANSFORM programmes from R139,999"; no TRANSFORM tier appears on the page. Internal spec lists TRANSFORM at R119,999 for 8 half-days.</w:t>
            </w:r>
          </w:p>
        </w:tc>
        <w:tc>
          <w:tcPr>
            <w:tcW w:w="2986" w:type="dxa"/>
          </w:tcPr>
          <w:p>
            <w:pPr/>
            <w:r>
              <w:t xml:space="preserve">Either add TRANSFORM to the ladder at its correct price or rewrite the meta to "MASTERY from R139,999".</w:t>
            </w:r>
          </w:p>
        </w:tc>
      </w:tr>
      <w:tr>
        <w:tc>
          <w:tcPr>
            <w:tcW w:w="720" w:type="dxa"/>
          </w:tcPr>
          <w:p>
            <w:pPr/>
            <w:r>
              <w:t xml:space="preserve">6</w:t>
            </w:r>
          </w:p>
        </w:tc>
        <w:tc>
          <w:tcPr>
            <w:tcW w:w="1305" w:type="dxa"/>
          </w:tcPr>
          <w:p>
            <w:pPr/>
            <w:r>
              <w:t xml:space="preserve">Express</w:t>
            </w:r>
          </w:p>
        </w:tc>
        <w:tc>
          <w:tcPr>
            <w:tcW w:w="4349" w:type="dxa"/>
          </w:tcPr>
          <w:p>
            <w:pPr/>
            <w:r>
              <w:t xml:space="preserve">Volume discount stated as "10% off at 10+" in the sessions intro but "5% from 5, 10% from 10" in pricing and FAQ.</w:t>
            </w:r>
          </w:p>
        </w:tc>
        <w:tc>
          <w:tcPr>
            <w:tcW w:w="2986" w:type="dxa"/>
          </w:tcPr>
          <w:p>
            <w:pPr/>
            <w:r>
              <w:t xml:space="preserve">Use the full 5% / 10% rule everywhere.</w:t>
            </w:r>
          </w:p>
        </w:tc>
      </w:tr>
      <w:tr>
        <w:tc>
          <w:tcPr>
            <w:tcW w:w="720" w:type="dxa"/>
          </w:tcPr>
          <w:p>
            <w:pPr/>
            <w:r>
              <w:t xml:space="preserve">7</w:t>
            </w:r>
          </w:p>
        </w:tc>
        <w:tc>
          <w:tcPr>
            <w:tcW w:w="1305" w:type="dxa"/>
          </w:tcPr>
          <w:p>
            <w:pPr/>
            <w:r>
              <w:t xml:space="preserve">Express</w:t>
            </w:r>
          </w:p>
        </w:tc>
        <w:tc>
          <w:tcPr>
            <w:tcW w:w="4349" w:type="dxa"/>
          </w:tcPr>
          <w:p>
            <w:pPr/>
            <w:r>
              <w:t xml:space="preserve">Cadence unclear: hero says "one session per month, four themes"; FAQ says each theme runs monthly (implying four a month); the schedule shows two a month.</w:t>
            </w:r>
          </w:p>
        </w:tc>
        <w:tc>
          <w:tcPr>
            <w:tcW w:w="2986" w:type="dxa"/>
          </w:tcPr>
          <w:p>
            <w:pPr/>
            <w:r>
              <w:t xml:space="preserve">State the actual cadence once and match the schedule to it.</w:t>
            </w:r>
          </w:p>
        </w:tc>
      </w:tr>
      <w:tr>
        <w:tc>
          <w:tcPr>
            <w:tcW w:w="720" w:type="dxa"/>
          </w:tcPr>
          <w:p>
            <w:pPr/>
            <w:r>
              <w:t xml:space="preserve">8</w:t>
            </w:r>
          </w:p>
        </w:tc>
        <w:tc>
          <w:tcPr>
            <w:tcW w:w="1305" w:type="dxa"/>
          </w:tcPr>
          <w:p>
            <w:pPr/>
            <w:r>
              <w:t xml:space="preserve">Express</w:t>
            </w:r>
          </w:p>
        </w:tc>
        <w:tc>
          <w:tcPr>
            <w:tcW w:w="4349" w:type="dxa"/>
          </w:tcPr>
          <w:p>
            <w:pPr/>
            <w:r>
              <w:t xml:space="preserve">Platform: meta says Microsoft Teams; body never names a platform; internal spec says Zoom.</w:t>
            </w:r>
          </w:p>
        </w:tc>
        <w:tc>
          <w:tcPr>
            <w:tcW w:w="2986" w:type="dxa"/>
          </w:tcPr>
          <w:p>
            <w:pPr/>
            <w:r>
              <w:t xml:space="preserve">Name the platform in the hero or "What do I need?" FAQ and align the meta.</w:t>
            </w:r>
          </w:p>
        </w:tc>
      </w:tr>
      <w:tr>
        <w:tc>
          <w:tcPr>
            <w:tcW w:w="720" w:type="dxa"/>
          </w:tcPr>
          <w:p>
            <w:pPr/>
            <w:r>
              <w:t xml:space="preserve">9</w:t>
            </w:r>
          </w:p>
        </w:tc>
        <w:tc>
          <w:tcPr>
            <w:tcW w:w="1305" w:type="dxa"/>
          </w:tcPr>
          <w:p>
            <w:pPr/>
            <w:r>
              <w:t xml:space="preserve">Express</w:t>
            </w:r>
          </w:p>
        </w:tc>
        <w:tc>
          <w:tcPr>
            <w:tcW w:w="4349" w:type="dxa"/>
          </w:tcPr>
          <w:p>
            <w:pPr/>
            <w:r>
              <w:t xml:space="preserve">Founding rate: no validity stated on its card; "rate honoured on repeat bookings this term" with "term" undefined; "Request Proforma Invoice" links to /shop/, not a request form.</w:t>
            </w:r>
          </w:p>
        </w:tc>
        <w:tc>
          <w:tcPr>
            <w:tcW w:w="2986" w:type="dxa"/>
          </w:tcPr>
          <w:p>
            <w:pPr/>
            <w:r>
              <w:t xml:space="preserve">Add an end date or cohort cap, define "term", and link the proforma button to a form or mailto.</w:t>
            </w:r>
          </w:p>
        </w:tc>
      </w:tr>
      <w:tr>
        <w:tc>
          <w:tcPr>
            <w:tcW w:w="720" w:type="dxa"/>
          </w:tcPr>
          <w:p>
            <w:pPr/>
            <w:r>
              <w:t xml:space="preserve">10</w:t>
            </w:r>
          </w:p>
        </w:tc>
        <w:tc>
          <w:tcPr>
            <w:tcW w:w="1305" w:type="dxa"/>
          </w:tcPr>
          <w:p>
            <w:pPr/>
            <w:r>
              <w:t xml:space="preserve">AI Advantage</w:t>
            </w:r>
          </w:p>
        </w:tc>
        <w:tc>
          <w:tcPr>
            <w:tcW w:w="4349" w:type="dxa"/>
          </w:tcPr>
          <w:p>
            <w:pPr/>
            <w:r>
              <w:t xml:space="preserve">Regions: hero lists Cape Town, Stellenbosch, Johannesburg; the interest form adds Pretoria and Durban; meta says "Sandton venue" while the page sells Jordan Wine Estate.</w:t>
            </w:r>
          </w:p>
        </w:tc>
        <w:tc>
          <w:tcPr>
            <w:tcW w:w="2986" w:type="dxa"/>
          </w:tcPr>
          <w:p>
            <w:pPr/>
            <w:r>
              <w:t xml:space="preserve">Align the region list and change the meta to the actual venue promise.</w:t>
            </w:r>
          </w:p>
        </w:tc>
      </w:tr>
      <w:tr>
        <w:tc>
          <w:tcPr>
            <w:tcW w:w="720" w:type="dxa"/>
          </w:tcPr>
          <w:p>
            <w:pPr/>
            <w:r>
              <w:t xml:space="preserve">11</w:t>
            </w:r>
          </w:p>
        </w:tc>
        <w:tc>
          <w:tcPr>
            <w:tcW w:w="1305" w:type="dxa"/>
          </w:tcPr>
          <w:p>
            <w:pPr/>
            <w:r>
              <w:t xml:space="preserve">AI Advantage</w:t>
            </w:r>
          </w:p>
        </w:tc>
        <w:tc>
          <w:tcPr>
            <w:tcW w:w="4349" w:type="dxa"/>
          </w:tcPr>
          <w:p>
            <w:pPr/>
            <w:r>
              <w:t xml:space="preserve">Pricing differs from internal spec (confirmed seat R6,999; flexible voucher R6,499).</w:t>
            </w:r>
          </w:p>
        </w:tc>
        <w:tc>
          <w:tcPr>
            <w:tcW w:w="2986" w:type="dxa"/>
          </w:tcPr>
          <w:p>
            <w:pPr/>
            <w:r>
              <w:t xml:space="preserve">Confirm the live R5,999 / R8,999 structure is the current decision and update the internal spec.</w:t>
            </w:r>
          </w:p>
        </w:tc>
      </w:tr>
      <w:tr>
        <w:tc>
          <w:tcPr>
            <w:tcW w:w="720" w:type="dxa"/>
          </w:tcPr>
          <w:p>
            <w:pPr/>
            <w:r>
              <w:t xml:space="preserve">12</w:t>
            </w:r>
          </w:p>
        </w:tc>
        <w:tc>
          <w:tcPr>
            <w:tcW w:w="1305" w:type="dxa"/>
          </w:tcPr>
          <w:p>
            <w:pPr/>
            <w:r>
              <w:t xml:space="preserve">AI Advantage / Education</w:t>
            </w:r>
          </w:p>
        </w:tc>
        <w:tc>
          <w:tcPr>
            <w:tcW w:w="4349" w:type="dxa"/>
          </w:tcPr>
          <w:p>
            <w:pPr/>
            <w:r>
              <w:t xml:space="preserve">Gemini is listed as a participant tool (Day One; Education tool list); internal content rules keep Gemini backend-only.</w:t>
            </w:r>
          </w:p>
        </w:tc>
        <w:tc>
          <w:tcPr>
            <w:tcW w:w="2986" w:type="dxa"/>
          </w:tcPr>
          <w:p>
            <w:pPr/>
            <w:r>
              <w:t xml:space="preserve">Either drop Gemini from the public lists or update the content rule.</w:t>
            </w:r>
          </w:p>
        </w:tc>
      </w:tr>
      <w:tr>
        <w:tc>
          <w:tcPr>
            <w:tcW w:w="720" w:type="dxa"/>
          </w:tcPr>
          <w:p>
            <w:pPr/>
            <w:r>
              <w:t xml:space="preserve">13</w:t>
            </w:r>
          </w:p>
        </w:tc>
        <w:tc>
          <w:tcPr>
            <w:tcW w:w="1305" w:type="dxa"/>
          </w:tcPr>
          <w:p>
            <w:pPr/>
            <w:r>
              <w:t xml:space="preserve">Education</w:t>
            </w:r>
          </w:p>
        </w:tc>
        <w:tc>
          <w:tcPr>
            <w:tcW w:w="4349" w:type="dxa"/>
          </w:tcPr>
          <w:p>
            <w:pPr/>
            <w:r>
              <w:t xml:space="preserve">Discount rule says "maximum 20%" though only 5% and 10% tiers exist; internal spec says ALIGN is never sold standalone, but it is bookable on its own; SPARK says stationery included, internal spec prices it at R50 pp.</w:t>
            </w:r>
          </w:p>
        </w:tc>
        <w:tc>
          <w:tcPr>
            <w:tcW w:w="2986" w:type="dxa"/>
          </w:tcPr>
          <w:p>
            <w:pPr/>
            <w:r>
              <w:t xml:space="preserve">Remove "maximum 20%" or explain it; decide whether ALIGN is standalone; confirm stationery is absorbed into the R5,999.</w:t>
            </w:r>
          </w:p>
        </w:tc>
      </w:tr>
      <w:tr>
        <w:tc>
          <w:tcPr>
            <w:tcW w:w="720" w:type="dxa"/>
          </w:tcPr>
          <w:p>
            <w:pPr/>
            <w:r>
              <w:t xml:space="preserve">14</w:t>
            </w:r>
          </w:p>
        </w:tc>
        <w:tc>
          <w:tcPr>
            <w:tcW w:w="1305" w:type="dxa"/>
          </w:tcPr>
          <w:p>
            <w:pPr/>
            <w:r>
              <w:t xml:space="preserve">Education</w:t>
            </w:r>
          </w:p>
        </w:tc>
        <w:tc>
          <w:tcPr>
            <w:tcW w:w="4349" w:type="dxa"/>
          </w:tcPr>
          <w:p>
            <w:pPr/>
            <w:r>
              <w:t xml:space="preserve">Sponsorship FAQ says "note it in the booking form", but the form has no sponsorship field or notes box. The Yoco tile promises an immediate voucher, but the page only offers a lead form.</w:t>
            </w:r>
          </w:p>
        </w:tc>
        <w:tc>
          <w:tcPr>
            <w:tcW w:w="2986" w:type="dxa"/>
          </w:tcPr>
          <w:p>
            <w:pPr/>
            <w:r>
              <w:t xml:space="preserve">Add a "Seeking a sponsor" checkbox and a notes field; link the Yoco tile to a SPARK product in /shop/ or reword it.</w:t>
            </w:r>
          </w:p>
        </w:tc>
      </w:tr>
      <w:tr>
        <w:tc>
          <w:tcPr>
            <w:tcW w:w="720" w:type="dxa"/>
          </w:tcPr>
          <w:p>
            <w:pPr/>
            <w:r>
              <w:t xml:space="preserve">15</w:t>
            </w:r>
          </w:p>
        </w:tc>
        <w:tc>
          <w:tcPr>
            <w:tcW w:w="1305" w:type="dxa"/>
          </w:tcPr>
          <w:p>
            <w:pPr/>
            <w:r>
              <w:t xml:space="preserve">All three</w:t>
            </w:r>
          </w:p>
        </w:tc>
        <w:tc>
          <w:tcPr>
            <w:tcW w:w="4349" w:type="dxa"/>
          </w:tcPr>
          <w:p>
            <w:pPr/>
            <w:r>
              <w:t xml:space="preserve">OG/Twitter share image is the generic 512px logo; AI Advantage case-study quote is unattributed; the Express testimonial carousel is duplicated in the HTML.</w:t>
            </w:r>
          </w:p>
        </w:tc>
        <w:tc>
          <w:tcPr>
            <w:tcW w:w="2986" w:type="dxa"/>
          </w:tcPr>
          <w:p>
            <w:pPr/>
            <w:r>
              <w:t xml:space="preserve">Add a page-specific 1200×630 share image per page (e.g. the Jordan photo); attribute the quote (name/role, with consent); hide the cloned carousel set from screen readers with aria-hidden.</w:t>
            </w:r>
          </w:p>
        </w:tc>
      </w:tr>
    </w:tbl>
    <w:p>
      <w:pPr>
        <w:pStyle w:val="Heading3"/>
      </w:pPr>
      <w:r>
        <w:t xml:space="preserve">Sources</w:t>
      </w:r>
    </w:p>
    <w:p>
      <w:pPr>
        <w:pStyle w:val="ListParagraph"/>
        <w:numPr>
          <w:ilvl w:val="0"/>
          <w:numId w:val="13"/>
        </w:numPr>
      </w:pPr>
      <w:hyperlink r:id="rId3" w:history="1">
        <w:r>
          <w:rPr>
            <w:rStyle w:val="Hyperlink"/>
          </w:rPr>
          <w:t xml:space="preserve">AI Advantage — gemis.tech/ai-advantage/</w:t>
        </w:r>
      </w:hyperlink>
    </w:p>
    <w:p>
      <w:pPr>
        <w:pStyle w:val="ListParagraph"/>
        <w:numPr>
          <w:ilvl w:val="0"/>
          <w:numId w:val="13"/>
        </w:numPr>
      </w:pPr>
      <w:hyperlink r:id="rId4" w:history="1">
        <w:r>
          <w:rPr>
            <w:rStyle w:val="Hyperlink"/>
          </w:rPr>
          <w:t xml:space="preserve">AI Advantage Express — gemis.tech/express/</w:t>
        </w:r>
      </w:hyperlink>
    </w:p>
    <w:p>
      <w:pPr>
        <w:pStyle w:val="ListParagraph"/>
        <w:numPr>
          <w:ilvl w:val="0"/>
          <w:numId w:val="13"/>
        </w:numPr>
      </w:pPr>
      <w:hyperlink r:id="rId5" w:history="1">
        <w:r>
          <w:rPr>
            <w:rStyle w:val="Hyperlink"/>
          </w:rPr>
          <w:t xml:space="preserve">Education Excellence — gemis.tech/education/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emis.tech/ai-advantage/" TargetMode="External"/><Relationship Id="rId4" Type="http://schemas.openxmlformats.org/officeDocument/2006/relationships/hyperlink" Target="https://gemis.tech/express/" TargetMode="External"/><Relationship Id="rId5" Type="http://schemas.openxmlformats.org/officeDocument/2006/relationships/hyperlink" Target="https://gemis.tech/educat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gemis.tech Page Briefs — AI Advantage, Express, Education Excellence</dc:title>
  <dc:description>Claude Docs node/f5b1daa4-0156@6 docx-w7</dc:description>
  <cp:revision>6</cp:revision>
</cp:coreProperties>
</file>