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King Harald / Sphinx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1.Folie: Logo auf schwarzem Hintergrund: Wir sagen unseren Gruppennamen und die Namen der Mitglieder.</w:t>
      </w:r>
    </w:p>
    <w:p w:rsidR="00000000" w:rsidDel="00000000" w:rsidP="00000000" w:rsidRDefault="00000000" w:rsidRPr="00000000" w14:paraId="00000004">
      <w:pPr>
        <w:rPr/>
      </w:pPr>
      <w:r w:rsidDel="00000000" w:rsidR="00000000" w:rsidRPr="00000000">
        <w:rPr>
          <w:rtl w:val="0"/>
        </w:rPr>
        <w:t xml:space="preserve">2.Folie: Problemvorstellung: Erklären den Leuten welche Challenge wir akzeptiert haben und fangen an über….</w:t>
      </w:r>
    </w:p>
    <w:p w:rsidR="00000000" w:rsidDel="00000000" w:rsidP="00000000" w:rsidRDefault="00000000" w:rsidRPr="00000000" w14:paraId="00000005">
      <w:pPr>
        <w:rPr/>
      </w:pPr>
      <w:r w:rsidDel="00000000" w:rsidR="00000000" w:rsidRPr="00000000">
        <w:rPr>
          <w:rtl w:val="0"/>
        </w:rPr>
        <w:t xml:space="preserve">3.Folie: ESP-32 als “King Harald” to rule them all / als Sphinx, die über alles wacht: ESP-32, wir setzen es in die Mitte der Folie, fangen an den Microcontroller zu lobpreisen. Wir sprechen über die Interoperabilität des Microcontrollers durch den stark standardiesierten und weitverbreitetenen Funkstandard. Wir sehen für den Microcontroller einen Einsatz in abwegigen oder auch gefährlichen Zonen vor wo Menschen nicht auf Dauer verweilen können. Wir malen eine Beispielsituation an einem Gletscher aus, wo ein ESP32 sowohl an bestehender Infrastruktur mit Bluetooth-Beacons zurückgreifen, oder aber auch andere Wege verwendet werden können, wie Drohnen, die mit einem Empfangsgerät als Payload ausgestattet sind oder auch Menschen eine App herunterladen können und beim vorbeigehen beim Wandern zu Datenübermittler werden könnten.</w:t>
      </w:r>
    </w:p>
    <w:p w:rsidR="00000000" w:rsidDel="00000000" w:rsidP="00000000" w:rsidRDefault="00000000" w:rsidRPr="00000000" w14:paraId="00000006">
      <w:pPr>
        <w:rPr/>
      </w:pPr>
      <w:commentRangeStart w:id="0"/>
      <w:r w:rsidDel="00000000" w:rsidR="00000000" w:rsidRPr="00000000">
        <w:rPr>
          <w:rtl w:val="0"/>
        </w:rPr>
        <w:t xml:space="preserve">4.Folie: Technische Erklärung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5.Folie: Ende.</w:t>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 Plotegher" w:id="0" w:date="2022-08-06T05:25:33Z">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 müssen wir Eugenio um Aufklärung bitten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