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ItikCare Prescriptive Rule Engine — Threshold Table &amp; Literature Backing</w:t>
      </w:r>
    </w:p>
    <w:p>
      <w:pPr>
        <w:jc w:val="center"/>
      </w:pPr>
      <w:r>
        <w:rPr>
          <w:i/>
          <w:color w:val="555555"/>
          <w:sz w:val="19"/>
        </w:rPr>
        <w:t>Forward-chaining IF-THEN rules, recommendations/rules.py — generated for thesis defense reference</w:t>
      </w:r>
    </w:p>
    <w:p/>
    <w:p>
      <w:pPr>
        <w:pStyle w:val="Heading2"/>
      </w:pPr>
      <w:r>
        <w:t>How these thresholds were set</w:t>
      </w:r>
    </w:p>
    <w:p>
      <w:r>
        <w:t>Every threshold below is a fixed named constant (not a percentile computed at runtime), so the same reading always produces the same verdict regardless of what else is in the database. This is what keeps each recommendation traceable to a specific rule for the thesis defense, per the “no black box” requirement in CLAUDE.md.</w:t>
        <w:br/>
        <w:br/>
      </w:r>
      <w:r>
        <w:rPr>
          <w:b/>
        </w:rPr>
        <w:t>Two distinct sourcing methods were used, and this table is honest about which applies to each rule:</w:t>
        <w:br/>
      </w:r>
    </w:p>
    <w:p>
      <w:pPr>
        <w:pStyle w:val="ListBullet"/>
      </w:pPr>
      <w:r>
        <w:rPr>
          <w:b/>
        </w:rPr>
        <w:t xml:space="preserve">Data-derived — </w:t>
      </w:r>
      <w:r>
        <w:t>the constant was chosen by inspecting the observed percentile distribution of that variable in ItikCare_Cleaned_Dataset.csv (n=551 rows), so it sits at a realistic point in this specific farm's own data rather than an imported generic number.</w:t>
      </w:r>
    </w:p>
    <w:p>
      <w:pPr>
        <w:pStyle w:val="ListBullet"/>
      </w:pPr>
      <w:r>
        <w:rPr>
          <w:b/>
        </w:rPr>
        <w:t xml:space="preserve">Literature-cited — </w:t>
      </w:r>
      <w:r>
        <w:t>the constant (or the general direction/existence of the effect) is stated in itikcare-spec.md and/or supported by an external peer-reviewed or extension source, listed in the Sources table below with its verification status.</w:t>
      </w:r>
    </w:p>
    <w:p>
      <w:r>
        <w:rPr>
          <w:i/>
        </w:rPr>
        <w:t>Important: only one external citation below (Ma et al., 2014) was independently confirmed by directly opening the primary source (PubMed). A second, frequently-repeated citation for the itik peak-laying-age figure (“Santiago et al., 2014”) could not be independently verified — see the note in the Sources table before citing it in your manuscript. Do not treat its presence here as confirmation that it exists as stated.</w:t>
      </w:r>
    </w:p>
    <w:p/>
    <w:p>
      <w:pPr>
        <w:pStyle w:val="Heading2"/>
      </w:pPr>
      <w:r>
        <w:t>1. Rule / Threshold Table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440"/>
            <w:shd w:val="clear" w:color="auto" w:fill="2F5233"/>
            <w:vAlign w:val="center"/>
          </w:tcPr>
          <w:p>
            <w:r/>
            <w:r>
              <w:rPr>
                <w:b/>
                <w:color w:val="FFFFFF"/>
                <w:sz w:val="20"/>
              </w:rPr>
              <w:t>Feature</w:t>
            </w:r>
          </w:p>
        </w:tc>
        <w:tc>
          <w:tcPr>
            <w:tcW w:type="dxa" w:w="1008"/>
            <w:shd w:val="clear" w:color="auto" w:fill="2F5233"/>
            <w:vAlign w:val="center"/>
          </w:tcPr>
          <w:p>
            <w:r/>
            <w:r>
              <w:rPr>
                <w:b/>
                <w:color w:val="FFFFFF"/>
                <w:sz w:val="20"/>
              </w:rPr>
              <w:t>Tier</w:t>
            </w:r>
          </w:p>
        </w:tc>
        <w:tc>
          <w:tcPr>
            <w:tcW w:type="dxa" w:w="2304"/>
            <w:shd w:val="clear" w:color="auto" w:fill="2F5233"/>
            <w:vAlign w:val="center"/>
          </w:tcPr>
          <w:p>
            <w:r/>
            <w:r>
              <w:rPr>
                <w:b/>
                <w:color w:val="FFFFFF"/>
                <w:sz w:val="20"/>
              </w:rPr>
              <w:t>Condition</w:t>
            </w:r>
          </w:p>
        </w:tc>
        <w:tc>
          <w:tcPr>
            <w:tcW w:type="dxa" w:w="2736"/>
            <w:shd w:val="clear" w:color="auto" w:fill="2F5233"/>
            <w:vAlign w:val="center"/>
          </w:tcPr>
          <w:p>
            <w:r/>
            <w:r>
              <w:rPr>
                <w:b/>
                <w:color w:val="FFFFFF"/>
                <w:sz w:val="20"/>
              </w:rPr>
              <w:t>Basis</w:t>
            </w:r>
          </w:p>
        </w:tc>
        <w:tc>
          <w:tcPr>
            <w:tcW w:type="dxa" w:w="2736"/>
            <w:shd w:val="clear" w:color="auto" w:fill="2F5233"/>
            <w:vAlign w:val="center"/>
          </w:tcPr>
          <w:p>
            <w:r/>
            <w:r>
              <w:rPr>
                <w:b/>
                <w:color w:val="FFFFFF"/>
                <w:sz w:val="20"/>
              </w:rPr>
              <w:t>Literature backing</w:t>
            </w:r>
          </w:p>
        </w:tc>
      </w:tr>
      <w:tr>
        <w:tc>
          <w:tcPr>
            <w:tcW w:type="dxa" w:w="1440"/>
            <w:vAlign w:val="center"/>
          </w:tcPr>
          <w:p>
            <w:r/>
            <w:r>
              <w:rPr>
                <w:b/>
                <w:sz w:val="19"/>
              </w:rPr>
              <w:t>Temperature</w:t>
              <w:br/>
              <w:t>(temperature_c)</w:t>
            </w:r>
          </w:p>
        </w:tc>
        <w:tc>
          <w:tcPr>
            <w:tcW w:type="dxa" w:w="1008"/>
            <w:vAlign w:val="center"/>
          </w:tcPr>
          <w:p>
            <w:r/>
            <w:r>
              <w:rPr>
                <w:sz w:val="19"/>
              </w:rPr>
              <w:t>HIGH</w:t>
              <w:br/>
              <w:t>(severe)</w:t>
            </w:r>
          </w:p>
        </w:tc>
        <w:tc>
          <w:tcPr>
            <w:tcW w:type="dxa" w:w="2304"/>
            <w:vAlign w:val="center"/>
          </w:tcPr>
          <w:p>
            <w:r/>
            <w:r>
              <w:rPr>
                <w:sz w:val="19"/>
              </w:rPr>
              <w:t>≥ 32.5°C</w:t>
            </w:r>
          </w:p>
        </w:tc>
        <w:tc>
          <w:tcPr>
            <w:tcW w:type="dxa" w:w="2736"/>
            <w:vAlign w:val="center"/>
          </w:tcPr>
          <w:p>
            <w:r/>
            <w:r>
              <w:rPr>
                <w:sz w:val="19"/>
              </w:rPr>
              <w:t>Near top of observed range (max 34.4°C, n=551)</w:t>
            </w:r>
          </w:p>
        </w:tc>
        <w:tc>
          <w:tcPr>
            <w:tcW w:type="dxa" w:w="2736"/>
            <w:vAlign w:val="center"/>
          </w:tcPr>
          <w:p>
            <w:r/>
            <w:r>
              <w:rPr>
                <w:sz w:val="19"/>
              </w:rPr>
              <w:t>Directionally supported: Ma et al. (2014) — ducks at 34°C (vs 23°C control) showed reduced feed intake, laying rate, egg weight, shell quality. Exact cutoff (32.5°C) is dataset-derived, not from this paper.</w:t>
            </w:r>
          </w:p>
        </w:tc>
      </w:tr>
      <w:tr>
        <w:tc>
          <w:tcPr>
            <w:tcW w:type="dxa" w:w="1440"/>
            <w:vAlign w:val="center"/>
          </w:tcPr>
          <w:p>
            <w:r/>
            <w:r>
              <w:rPr>
                <w:b/>
                <w:sz w:val="19"/>
              </w:rPr>
              <w:t>Temperature</w:t>
              <w:br/>
              <w:t>(temperature_c)</w:t>
            </w:r>
          </w:p>
        </w:tc>
        <w:tc>
          <w:tcPr>
            <w:tcW w:type="dxa" w:w="1008"/>
            <w:vAlign w:val="center"/>
          </w:tcPr>
          <w:p>
            <w:r/>
            <w:r>
              <w:rPr>
                <w:sz w:val="19"/>
              </w:rPr>
              <w:t>MEDIUM</w:t>
              <w:br/>
              <w:t>(moderate)</w:t>
            </w:r>
          </w:p>
        </w:tc>
        <w:tc>
          <w:tcPr>
            <w:tcW w:type="dxa" w:w="2304"/>
            <w:vAlign w:val="center"/>
          </w:tcPr>
          <w:p>
            <w:r/>
            <w:r>
              <w:rPr>
                <w:sz w:val="19"/>
              </w:rPr>
              <w:t>≥ 30.0°C, &lt; 32.5°C</w:t>
            </w:r>
          </w:p>
        </w:tc>
        <w:tc>
          <w:tcPr>
            <w:tcW w:type="dxa" w:w="2736"/>
            <w:vAlign w:val="center"/>
          </w:tcPr>
          <w:p>
            <w:r/>
            <w:r>
              <w:rPr>
                <w:sz w:val="19"/>
              </w:rPr>
              <w:t>~p75–p90 of observed range (p75=29.7, p90=30.5)</w:t>
            </w:r>
          </w:p>
        </w:tc>
        <w:tc>
          <w:tcPr>
            <w:tcW w:type="dxa" w:w="2736"/>
            <w:vAlign w:val="center"/>
          </w:tcPr>
          <w:p>
            <w:r/>
            <w:r>
              <w:rPr>
                <w:sz w:val="19"/>
              </w:rPr>
              <w:t>Same as above — supports the general existence of a moderate/severe split, not this exact value.</w:t>
            </w:r>
          </w:p>
        </w:tc>
      </w:tr>
      <w:tr>
        <w:tc>
          <w:tcPr>
            <w:tcW w:type="dxa" w:w="1440"/>
            <w:vAlign w:val="center"/>
          </w:tcPr>
          <w:p>
            <w:r/>
            <w:r>
              <w:rPr>
                <w:b/>
                <w:sz w:val="19"/>
              </w:rPr>
              <w:t>Temperature</w:t>
              <w:br/>
              <w:t>(temperature_c)</w:t>
            </w:r>
          </w:p>
        </w:tc>
        <w:tc>
          <w:tcPr>
            <w:tcW w:type="dxa" w:w="1008"/>
            <w:vAlign w:val="center"/>
          </w:tcPr>
          <w:p>
            <w:r/>
            <w:r>
              <w:rPr>
                <w:sz w:val="19"/>
              </w:rPr>
              <w:t>LOW</w:t>
              <w:br/>
              <w:t>(in range / confirmation)</w:t>
            </w:r>
          </w:p>
        </w:tc>
        <w:tc>
          <w:tcPr>
            <w:tcW w:type="dxa" w:w="2304"/>
            <w:vAlign w:val="center"/>
          </w:tcPr>
          <w:p>
            <w:r/>
            <w:r>
              <w:rPr>
                <w:sz w:val="19"/>
              </w:rPr>
              <w:t>&lt; 30.0°C</w:t>
            </w:r>
          </w:p>
        </w:tc>
        <w:tc>
          <w:tcPr>
            <w:tcW w:type="dxa" w:w="2736"/>
            <w:vAlign w:val="center"/>
          </w:tcPr>
          <w:p>
            <w:r/>
            <w:r>
              <w:rPr>
                <w:sz w:val="19"/>
              </w:rPr>
              <w:t>Below p75 of observed range</w:t>
            </w:r>
          </w:p>
        </w:tc>
        <w:tc>
          <w:tcPr>
            <w:tcW w:type="dxa" w:w="2736"/>
            <w:vAlign w:val="center"/>
          </w:tcPr>
          <w:p>
            <w:r/>
            <w:r>
              <w:rPr>
                <w:sz w:val="19"/>
              </w:rPr>
              <w:t>N/A — catch-all confirmation rule, no warning fires.</w:t>
            </w:r>
          </w:p>
        </w:tc>
      </w:tr>
      <w:tr>
        <w:tc>
          <w:tcPr>
            <w:tcW w:type="dxa" w:w="1440"/>
            <w:vAlign w:val="center"/>
          </w:tcPr>
          <w:p>
            <w:r/>
            <w:r>
              <w:rPr>
                <w:b/>
                <w:sz w:val="19"/>
              </w:rPr>
              <w:t>Humidity</w:t>
              <w:br/>
              <w:t>(humidity_pct)</w:t>
            </w:r>
          </w:p>
        </w:tc>
        <w:tc>
          <w:tcPr>
            <w:tcW w:type="dxa" w:w="1008"/>
            <w:vAlign w:val="center"/>
          </w:tcPr>
          <w:p>
            <w:r/>
            <w:r>
              <w:rPr>
                <w:sz w:val="19"/>
              </w:rPr>
              <w:t>HIGH</w:t>
              <w:br/>
              <w:t>(severe)</w:t>
            </w:r>
          </w:p>
        </w:tc>
        <w:tc>
          <w:tcPr>
            <w:tcW w:type="dxa" w:w="2304"/>
            <w:vAlign w:val="center"/>
          </w:tcPr>
          <w:p>
            <w:r/>
            <w:r>
              <w:rPr>
                <w:sz w:val="19"/>
              </w:rPr>
              <w:t>≥ 88%</w:t>
            </w:r>
          </w:p>
        </w:tc>
        <w:tc>
          <w:tcPr>
            <w:tcW w:type="dxa" w:w="2736"/>
            <w:vAlign w:val="center"/>
          </w:tcPr>
          <w:p>
            <w:r/>
            <w:r>
              <w:rPr>
                <w:sz w:val="19"/>
              </w:rPr>
              <w:t>~p90+ of observed range (p90=87, max=95)</w:t>
            </w:r>
          </w:p>
        </w:tc>
        <w:tc>
          <w:tcPr>
            <w:tcW w:type="dxa" w:w="2736"/>
            <w:vAlign w:val="center"/>
          </w:tcPr>
          <w:p>
            <w:r/>
            <w:r>
              <w:rPr>
                <w:sz w:val="19"/>
              </w:rPr>
              <w:t>No duck-specific laying-humidity study found. Closest literature is Pekin duck meat-type / hatchery humidity research (growout and incubation, not egg yield) — tangential only. This rule is primarily data-derived.</w:t>
            </w:r>
          </w:p>
        </w:tc>
      </w:tr>
      <w:tr>
        <w:tc>
          <w:tcPr>
            <w:tcW w:type="dxa" w:w="1440"/>
            <w:vAlign w:val="center"/>
          </w:tcPr>
          <w:p>
            <w:r/>
            <w:r>
              <w:rPr>
                <w:b/>
                <w:sz w:val="19"/>
              </w:rPr>
              <w:t>Humidity</w:t>
              <w:br/>
              <w:t>(humidity_pct)</w:t>
            </w:r>
          </w:p>
        </w:tc>
        <w:tc>
          <w:tcPr>
            <w:tcW w:type="dxa" w:w="1008"/>
            <w:vAlign w:val="center"/>
          </w:tcPr>
          <w:p>
            <w:r/>
            <w:r>
              <w:rPr>
                <w:sz w:val="19"/>
              </w:rPr>
              <w:t>MEDIUM</w:t>
              <w:br/>
              <w:t>(moderate)</w:t>
            </w:r>
          </w:p>
        </w:tc>
        <w:tc>
          <w:tcPr>
            <w:tcW w:type="dxa" w:w="2304"/>
            <w:vAlign w:val="center"/>
          </w:tcPr>
          <w:p>
            <w:r/>
            <w:r>
              <w:rPr>
                <w:sz w:val="19"/>
              </w:rPr>
              <w:t>≥ 80%, &lt; 88%</w:t>
            </w:r>
          </w:p>
        </w:tc>
        <w:tc>
          <w:tcPr>
            <w:tcW w:type="dxa" w:w="2736"/>
            <w:vAlign w:val="center"/>
          </w:tcPr>
          <w:p>
            <w:r/>
            <w:r>
              <w:rPr>
                <w:sz w:val="19"/>
              </w:rPr>
              <w:t>~p75 of observed range (p75=84)</w:t>
            </w:r>
          </w:p>
        </w:tc>
        <w:tc>
          <w:tcPr>
            <w:tcW w:type="dxa" w:w="2736"/>
            <w:vAlign w:val="center"/>
          </w:tcPr>
          <w:p>
            <w:r/>
            <w:r>
              <w:rPr>
                <w:sz w:val="19"/>
              </w:rPr>
              <w:t>Same caveat as above — weakest literature backing of the four rule groups.</w:t>
            </w:r>
          </w:p>
        </w:tc>
      </w:tr>
      <w:tr>
        <w:tc>
          <w:tcPr>
            <w:tcW w:type="dxa" w:w="1440"/>
            <w:vAlign w:val="center"/>
          </w:tcPr>
          <w:p>
            <w:r/>
            <w:r>
              <w:rPr>
                <w:b/>
                <w:sz w:val="19"/>
              </w:rPr>
              <w:t>Humidity</w:t>
              <w:br/>
              <w:t>(humidity_pct)</w:t>
            </w:r>
          </w:p>
        </w:tc>
        <w:tc>
          <w:tcPr>
            <w:tcW w:type="dxa" w:w="1008"/>
            <w:vAlign w:val="center"/>
          </w:tcPr>
          <w:p>
            <w:r/>
            <w:r>
              <w:rPr>
                <w:sz w:val="19"/>
              </w:rPr>
              <w:t>LOW</w:t>
              <w:br/>
              <w:t>(in range / confirmation)</w:t>
            </w:r>
          </w:p>
        </w:tc>
        <w:tc>
          <w:tcPr>
            <w:tcW w:type="dxa" w:w="2304"/>
            <w:vAlign w:val="center"/>
          </w:tcPr>
          <w:p>
            <w:r/>
            <w:r>
              <w:rPr>
                <w:sz w:val="19"/>
              </w:rPr>
              <w:t>&lt; 80%</w:t>
            </w:r>
          </w:p>
        </w:tc>
        <w:tc>
          <w:tcPr>
            <w:tcW w:type="dxa" w:w="2736"/>
            <w:vAlign w:val="center"/>
          </w:tcPr>
          <w:p>
            <w:r/>
            <w:r>
              <w:rPr>
                <w:sz w:val="19"/>
              </w:rPr>
              <w:t>Below p75 of observed range</w:t>
            </w:r>
          </w:p>
        </w:tc>
        <w:tc>
          <w:tcPr>
            <w:tcW w:type="dxa" w:w="2736"/>
            <w:vAlign w:val="center"/>
          </w:tcPr>
          <w:p>
            <w:r/>
            <w:r>
              <w:rPr>
                <w:sz w:val="19"/>
              </w:rPr>
              <w:t>N/A — catch-all confirmation rule, no warning fires.</w:t>
            </w:r>
          </w:p>
        </w:tc>
      </w:tr>
      <w:tr>
        <w:tc>
          <w:tcPr>
            <w:tcW w:type="dxa" w:w="1440"/>
            <w:vAlign w:val="center"/>
          </w:tcPr>
          <w:p>
            <w:r/>
            <w:r>
              <w:rPr>
                <w:b/>
                <w:sz w:val="19"/>
              </w:rPr>
              <w:t>Feed intake per bird</w:t>
              <w:br/>
              <w:t>(feed_intake_kg ÷ flock_size)</w:t>
            </w:r>
          </w:p>
        </w:tc>
        <w:tc>
          <w:tcPr>
            <w:tcW w:type="dxa" w:w="1008"/>
            <w:vAlign w:val="center"/>
          </w:tcPr>
          <w:p>
            <w:r/>
            <w:r>
              <w:rPr>
                <w:sz w:val="19"/>
              </w:rPr>
              <w:t>HIGH</w:t>
              <w:br/>
              <w:t>(severe)</w:t>
            </w:r>
          </w:p>
        </w:tc>
        <w:tc>
          <w:tcPr>
            <w:tcW w:type="dxa" w:w="2304"/>
            <w:vAlign w:val="center"/>
          </w:tcPr>
          <w:p>
            <w:r/>
            <w:r>
              <w:rPr>
                <w:sz w:val="19"/>
              </w:rPr>
              <w:t>&lt; 150 g/bird/day</w:t>
            </w:r>
          </w:p>
        </w:tc>
        <w:tc>
          <w:tcPr>
            <w:tcW w:type="dxa" w:w="2736"/>
            <w:vAlign w:val="center"/>
          </w:tcPr>
          <w:p>
            <w:r/>
            <w:r>
              <w:rPr>
                <w:sz w:val="19"/>
              </w:rPr>
              <w:t>Near dataset minimum observed (min=152 g/bird/day)</w:t>
            </w:r>
          </w:p>
        </w:tc>
        <w:tc>
          <w:tcPr>
            <w:tcW w:type="dxa" w:w="2736"/>
            <w:vAlign w:val="center"/>
          </w:tcPr>
          <w:p>
            <w:r/>
            <w:r>
              <w:rPr>
                <w:sz w:val="19"/>
              </w:rPr>
              <w:t>Within the range cited by university extension guidance (~120–200 g/bird/day depending on breed/foraging) — see Jacob (n.d.) in Sources. Source is general layer-duck guidance, not itik-specific.</w:t>
            </w:r>
          </w:p>
        </w:tc>
      </w:tr>
      <w:tr>
        <w:tc>
          <w:tcPr>
            <w:tcW w:type="dxa" w:w="1440"/>
            <w:vAlign w:val="center"/>
          </w:tcPr>
          <w:p>
            <w:r/>
            <w:r>
              <w:rPr>
                <w:b/>
                <w:sz w:val="19"/>
              </w:rPr>
              <w:t>Feed intake per bird</w:t>
              <w:br/>
              <w:t>(feed_intake_kg ÷ flock_size)</w:t>
            </w:r>
          </w:p>
        </w:tc>
        <w:tc>
          <w:tcPr>
            <w:tcW w:type="dxa" w:w="1008"/>
            <w:vAlign w:val="center"/>
          </w:tcPr>
          <w:p>
            <w:r/>
            <w:r>
              <w:rPr>
                <w:sz w:val="19"/>
              </w:rPr>
              <w:t>MEDIUM</w:t>
              <w:br/>
              <w:t>(moderate)</w:t>
            </w:r>
          </w:p>
        </w:tc>
        <w:tc>
          <w:tcPr>
            <w:tcW w:type="dxa" w:w="2304"/>
            <w:vAlign w:val="center"/>
          </w:tcPr>
          <w:p>
            <w:r/>
            <w:r>
              <w:rPr>
                <w:sz w:val="19"/>
              </w:rPr>
              <w:t>&lt; 160 g/bird/day, ≥ 150</w:t>
            </w:r>
          </w:p>
        </w:tc>
        <w:tc>
          <w:tcPr>
            <w:tcW w:type="dxa" w:w="2736"/>
            <w:vAlign w:val="center"/>
          </w:tcPr>
          <w:p>
            <w:r/>
            <w:r>
              <w:rPr>
                <w:sz w:val="19"/>
              </w:rPr>
              <w:t>~p25 of observed range (p25=154)</w:t>
            </w:r>
          </w:p>
        </w:tc>
        <w:tc>
          <w:tcPr>
            <w:tcW w:type="dxa" w:w="2736"/>
            <w:vAlign w:val="center"/>
          </w:tcPr>
          <w:p>
            <w:r/>
            <w:r>
              <w:rPr>
                <w:sz w:val="19"/>
              </w:rPr>
              <w:t>Same extension range as above supports this being a plausible “low ration” band.</w:t>
            </w:r>
          </w:p>
        </w:tc>
      </w:tr>
      <w:tr>
        <w:tc>
          <w:tcPr>
            <w:tcW w:type="dxa" w:w="1440"/>
            <w:vAlign w:val="center"/>
          </w:tcPr>
          <w:p>
            <w:r/>
            <w:r>
              <w:rPr>
                <w:b/>
                <w:sz w:val="19"/>
              </w:rPr>
              <w:t>Feed intake per bird</w:t>
              <w:br/>
              <w:t>(feed_intake_kg ÷ flock_size)</w:t>
            </w:r>
          </w:p>
        </w:tc>
        <w:tc>
          <w:tcPr>
            <w:tcW w:type="dxa" w:w="1008"/>
            <w:vAlign w:val="center"/>
          </w:tcPr>
          <w:p>
            <w:r/>
            <w:r>
              <w:rPr>
                <w:sz w:val="19"/>
              </w:rPr>
              <w:t>LOW</w:t>
              <w:br/>
              <w:t>(in range / confirmation)</w:t>
            </w:r>
          </w:p>
        </w:tc>
        <w:tc>
          <w:tcPr>
            <w:tcW w:type="dxa" w:w="2304"/>
            <w:vAlign w:val="center"/>
          </w:tcPr>
          <w:p>
            <w:r/>
            <w:r>
              <w:rPr>
                <w:sz w:val="19"/>
              </w:rPr>
              <w:t>≥ 160 g/bird/day</w:t>
            </w:r>
          </w:p>
        </w:tc>
        <w:tc>
          <w:tcPr>
            <w:tcW w:type="dxa" w:w="2736"/>
            <w:vAlign w:val="center"/>
          </w:tcPr>
          <w:p>
            <w:r/>
            <w:r>
              <w:rPr>
                <w:sz w:val="19"/>
              </w:rPr>
              <w:t>At/above dataset median (median=168)</w:t>
            </w:r>
          </w:p>
        </w:tc>
        <w:tc>
          <w:tcPr>
            <w:tcW w:type="dxa" w:w="2736"/>
            <w:vAlign w:val="center"/>
          </w:tcPr>
          <w:p>
            <w:r/>
            <w:r>
              <w:rPr>
                <w:sz w:val="19"/>
              </w:rPr>
              <w:t>N/A — catch-all confirmation rule, no warning fires.</w:t>
            </w:r>
          </w:p>
        </w:tc>
      </w:tr>
      <w:tr>
        <w:tc>
          <w:tcPr>
            <w:tcW w:type="dxa" w:w="1440"/>
            <w:vAlign w:val="center"/>
          </w:tcPr>
          <w:p>
            <w:r/>
            <w:r>
              <w:rPr>
                <w:b/>
                <w:sz w:val="19"/>
              </w:rPr>
              <w:t>Flock age</w:t>
              <w:br/>
              <w:t>(flock_age_weeks)</w:t>
            </w:r>
          </w:p>
        </w:tc>
        <w:tc>
          <w:tcPr>
            <w:tcW w:type="dxa" w:w="1008"/>
            <w:vAlign w:val="center"/>
          </w:tcPr>
          <w:p>
            <w:r/>
            <w:r>
              <w:rPr>
                <w:sz w:val="19"/>
              </w:rPr>
              <w:t>MEDIUM</w:t>
              <w:br/>
              <w:t>(post-peak decline)</w:t>
            </w:r>
          </w:p>
        </w:tc>
        <w:tc>
          <w:tcPr>
            <w:tcW w:type="dxa" w:w="2304"/>
            <w:vAlign w:val="center"/>
          </w:tcPr>
          <w:p>
            <w:r/>
            <w:r>
              <w:rPr>
                <w:sz w:val="19"/>
              </w:rPr>
              <w:t>&gt; 35 weeks</w:t>
            </w:r>
          </w:p>
        </w:tc>
        <w:tc>
          <w:tcPr>
            <w:tcW w:type="dxa" w:w="2736"/>
            <w:vAlign w:val="center"/>
          </w:tcPr>
          <w:p>
            <w:r/>
            <w:r>
              <w:rPr>
                <w:sz w:val="19"/>
              </w:rPr>
              <w:t>Buffer past itikcare-spec.md's cited 28–29-week peak window</w:t>
            </w:r>
          </w:p>
        </w:tc>
        <w:tc>
          <w:tcPr>
            <w:tcW w:type="dxa" w:w="2736"/>
            <w:vAlign w:val="center"/>
          </w:tcPr>
          <w:p>
            <w:r/>
            <w:r>
              <w:rPr>
                <w:sz w:val="19"/>
              </w:rPr>
              <w:t>itikcare-spec.md section 4 states peak laying period for itik is ~28–29 weeks, attributed in secondary web sources to “Santiago et al. (2014)” — NOT independently verified (see Sources table). Rule fires on the literature-cited window regardless of this feature's own modest RF importance (~5–6%).</w:t>
            </w:r>
          </w:p>
        </w:tc>
      </w:tr>
      <w:tr>
        <w:tc>
          <w:tcPr>
            <w:tcW w:type="dxa" w:w="1440"/>
            <w:vAlign w:val="center"/>
          </w:tcPr>
          <w:p>
            <w:r/>
            <w:r>
              <w:rPr>
                <w:b/>
                <w:sz w:val="19"/>
              </w:rPr>
              <w:t>Flock age</w:t>
              <w:br/>
              <w:t>(flock_age_weeks)</w:t>
            </w:r>
          </w:p>
        </w:tc>
        <w:tc>
          <w:tcPr>
            <w:tcW w:type="dxa" w:w="1008"/>
            <w:vAlign w:val="center"/>
          </w:tcPr>
          <w:p>
            <w:r/>
            <w:r>
              <w:rPr>
                <w:sz w:val="19"/>
              </w:rPr>
              <w:t>LOW</w:t>
              <w:br/>
              <w:t>(approaching peak)</w:t>
            </w:r>
          </w:p>
        </w:tc>
        <w:tc>
          <w:tcPr>
            <w:tcW w:type="dxa" w:w="2304"/>
            <w:vAlign w:val="center"/>
          </w:tcPr>
          <w:p>
            <w:r/>
            <w:r>
              <w:rPr>
                <w:sz w:val="19"/>
              </w:rPr>
              <w:t>&lt; 28 weeks</w:t>
            </w:r>
          </w:p>
        </w:tc>
        <w:tc>
          <w:tcPr>
            <w:tcW w:type="dxa" w:w="2736"/>
            <w:vAlign w:val="center"/>
          </w:tcPr>
          <w:p>
            <w:r/>
            <w:r>
              <w:rPr>
                <w:sz w:val="19"/>
              </w:rPr>
              <w:t>Below itikcare-spec.md's cited peak-window start</w:t>
            </w:r>
          </w:p>
        </w:tc>
        <w:tc>
          <w:tcPr>
            <w:tcW w:type="dxa" w:w="2736"/>
            <w:vAlign w:val="center"/>
          </w:tcPr>
          <w:p>
            <w:r/>
            <w:r>
              <w:rPr>
                <w:sz w:val="19"/>
              </w:rPr>
              <w:t>Same citation caveat as above.</w:t>
            </w:r>
          </w:p>
        </w:tc>
      </w:tr>
      <w:tr>
        <w:tc>
          <w:tcPr>
            <w:tcW w:type="dxa" w:w="1440"/>
            <w:vAlign w:val="center"/>
          </w:tcPr>
          <w:p>
            <w:r/>
            <w:r>
              <w:rPr>
                <w:b/>
                <w:sz w:val="19"/>
              </w:rPr>
              <w:t>Flock age</w:t>
              <w:br/>
              <w:t>(flock_age_weeks)</w:t>
            </w:r>
          </w:p>
        </w:tc>
        <w:tc>
          <w:tcPr>
            <w:tcW w:type="dxa" w:w="1008"/>
            <w:vAlign w:val="center"/>
          </w:tcPr>
          <w:p>
            <w:r/>
            <w:r>
              <w:rPr>
                <w:sz w:val="19"/>
              </w:rPr>
              <w:t>LOW</w:t>
              <w:br/>
              <w:t>(in range / confirmation)</w:t>
            </w:r>
          </w:p>
        </w:tc>
        <w:tc>
          <w:tcPr>
            <w:tcW w:type="dxa" w:w="2304"/>
            <w:vAlign w:val="center"/>
          </w:tcPr>
          <w:p>
            <w:r/>
            <w:r>
              <w:rPr>
                <w:sz w:val="19"/>
              </w:rPr>
              <w:t>28–35 weeks</w:t>
            </w:r>
          </w:p>
        </w:tc>
        <w:tc>
          <w:tcPr>
            <w:tcW w:type="dxa" w:w="2736"/>
            <w:vAlign w:val="center"/>
          </w:tcPr>
          <w:p>
            <w:r/>
            <w:r>
              <w:rPr>
                <w:sz w:val="19"/>
              </w:rPr>
              <w:t>Within/just past the cited peak window</w:t>
            </w:r>
          </w:p>
        </w:tc>
        <w:tc>
          <w:tcPr>
            <w:tcW w:type="dxa" w:w="2736"/>
            <w:vAlign w:val="center"/>
          </w:tcPr>
          <w:p>
            <w:r/>
            <w:r>
              <w:rPr>
                <w:sz w:val="19"/>
              </w:rPr>
              <w:t>N/A — catch-all confirmation rule, no warning fires.</w:t>
            </w:r>
          </w:p>
        </w:tc>
      </w:tr>
    </w:tbl>
    <w:p/>
    <w:p>
      <w:pPr>
        <w:pStyle w:val="Heading2"/>
      </w:pPr>
      <w:r>
        <w:t>2. Deliberately absent rules (by data, not omission)</w:t>
      </w:r>
    </w:p>
    <w:p>
      <w:pPr>
        <w:pStyle w:val="ListBullet"/>
      </w:pPr>
      <w:r>
        <w:rPr>
          <w:b/>
        </w:rPr>
        <w:t xml:space="preserve">Cold-stress / low-humidity rules — </w:t>
      </w:r>
      <w:r>
        <w:t>ItikCare_Cleaned_Dataset.csv never records temperature below 24.0°C or humidity below 51%RH in 551 rows. This farm's tropical climate never approaches either stress condition, so a rule for it would be untestable and unreachable in practice.</w:t>
      </w:r>
    </w:p>
    <w:p>
      <w:pPr>
        <w:pStyle w:val="ListBullet"/>
      </w:pPr>
      <w:r>
        <w:rPr>
          <w:b/>
        </w:rPr>
        <w:t xml:space="preserve">Overfeeding rule — </w:t>
      </w:r>
      <w:r>
        <w:t>feed-per-bird reaches up to 230 g/bird/day in the data with no associated drop in yield, so there is no egg-yield evidence to trigger on; framing it as a cost-saving tip would also stray into the financial-advice territory CLAUDE.md excludes from scope.</w:t>
      </w:r>
    </w:p>
    <w:p/>
    <w:p>
      <w:pPr>
        <w:pStyle w:val="Heading2"/>
      </w:pPr>
      <w:r>
        <w:t>3. Sources &amp; Verification Status</w:t>
      </w:r>
    </w:p>
    <w:p>
      <w:r>
        <w:rPr>
          <w:i/>
        </w:rPr>
        <w:t>“Verification” reflects whether this session directly opened and read the primary source, versus only seeing it paraphrased in secondary web results. Anything not marked Confirmed should be checked against your own thesis's Related Literature chapter before it goes into the manuscript.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432"/>
            <w:shd w:val="clear" w:color="auto" w:fill="4A4A4A"/>
          </w:tcPr>
          <w:p>
            <w:r/>
            <w:r>
              <w:rPr>
                <w:b/>
                <w:color w:val="FFFFFF"/>
                <w:sz w:val="20"/>
              </w:rPr>
              <w:t>#</w:t>
            </w:r>
          </w:p>
        </w:tc>
        <w:tc>
          <w:tcPr>
            <w:tcW w:type="dxa" w:w="3456"/>
            <w:shd w:val="clear" w:color="auto" w:fill="4A4A4A"/>
          </w:tcPr>
          <w:p>
            <w:r/>
            <w:r>
              <w:rPr>
                <w:b/>
                <w:color w:val="FFFFFF"/>
                <w:sz w:val="20"/>
              </w:rPr>
              <w:t>Citation</w:t>
            </w:r>
          </w:p>
        </w:tc>
        <w:tc>
          <w:tcPr>
            <w:tcW w:type="dxa" w:w="1584"/>
            <w:shd w:val="clear" w:color="auto" w:fill="4A4A4A"/>
          </w:tcPr>
          <w:p>
            <w:r/>
            <w:r>
              <w:rPr>
                <w:b/>
                <w:color w:val="FFFFFF"/>
                <w:sz w:val="20"/>
              </w:rPr>
              <w:t>Used for</w:t>
            </w:r>
          </w:p>
        </w:tc>
        <w:tc>
          <w:tcPr>
            <w:tcW w:type="dxa" w:w="1296"/>
            <w:shd w:val="clear" w:color="auto" w:fill="4A4A4A"/>
          </w:tcPr>
          <w:p>
            <w:r/>
            <w:r>
              <w:rPr>
                <w:b/>
                <w:color w:val="FFFFFF"/>
                <w:sz w:val="20"/>
              </w:rPr>
              <w:t>Verification</w:t>
            </w:r>
          </w:p>
        </w:tc>
        <w:tc>
          <w:tcPr>
            <w:tcW w:type="dxa" w:w="3456"/>
            <w:shd w:val="clear" w:color="auto" w:fill="4A4A4A"/>
          </w:tcPr>
          <w:p>
            <w:r/>
            <w:r>
              <w:rPr>
                <w:b/>
                <w:color w:val="FFFFFF"/>
                <w:sz w:val="20"/>
              </w:rPr>
              <w:t>Notes</w:t>
            </w:r>
          </w:p>
        </w:tc>
      </w:tr>
      <w:tr>
        <w:tc>
          <w:tcPr>
            <w:tcW w:type="dxa" w:w="432"/>
          </w:tcPr>
          <w:p>
            <w:r/>
            <w:r>
              <w:rPr>
                <w:sz w:val="19"/>
              </w:rPr>
              <w:t>1</w:t>
            </w:r>
          </w:p>
        </w:tc>
        <w:tc>
          <w:tcPr>
            <w:tcW w:type="dxa" w:w="3456"/>
          </w:tcPr>
          <w:p>
            <w:r/>
            <w:r>
              <w:rPr>
                <w:sz w:val="19"/>
              </w:rPr>
              <w:t>Ma, X., Lin, Y., Zhang, H., Chen, W., Wang, S., Ruan, D., &amp; Jiang, Z. (2014). Heat stress impairs the nutritional metabolism and reduces the productivity of egg-laying ducks. Animal Reproduction Science, 145(3–4), 182–190. PubMed ID: 24491646.</w:t>
            </w:r>
          </w:p>
        </w:tc>
        <w:tc>
          <w:tcPr>
            <w:tcW w:type="dxa" w:w="1584"/>
          </w:tcPr>
          <w:p>
            <w:r/>
            <w:r>
              <w:rPr>
                <w:sz w:val="19"/>
              </w:rPr>
              <w:t>Temperature rule (direction/existence only)</w:t>
            </w:r>
          </w:p>
        </w:tc>
        <w:tc>
          <w:tcPr>
            <w:tcW w:type="dxa" w:w="1296"/>
          </w:tcPr>
          <w:p>
            <w:r/>
            <w:r>
              <w:rPr>
                <w:sz w:val="19"/>
              </w:rPr>
              <w:t>Confirmed</w:t>
              <w:br/>
              <w:t>(read directly via PubMed)</w:t>
            </w:r>
          </w:p>
        </w:tc>
        <w:tc>
          <w:tcPr>
            <w:tcW w:type="dxa" w:w="3456"/>
          </w:tcPr>
          <w:p>
            <w:r/>
            <w:r>
              <w:rPr>
                <w:sz w:val="19"/>
              </w:rPr>
              <w:t>Experimental study: ducks at 34°C vs 23°C control for 28 days — reduced feed intake, laying rate, egg weight, shell thickness/strength, Haugh unit. Does not itself specify 30.0°C/32.5°C as cutoffs.</w:t>
            </w:r>
          </w:p>
        </w:tc>
      </w:tr>
      <w:tr>
        <w:tc>
          <w:tcPr>
            <w:tcW w:type="dxa" w:w="432"/>
          </w:tcPr>
          <w:p>
            <w:r/>
            <w:r>
              <w:rPr>
                <w:sz w:val="19"/>
              </w:rPr>
              <w:t>2</w:t>
            </w:r>
          </w:p>
        </w:tc>
        <w:tc>
          <w:tcPr>
            <w:tcW w:type="dxa" w:w="3456"/>
          </w:tcPr>
          <w:p>
            <w:r/>
            <w:r>
              <w:rPr>
                <w:sz w:val="19"/>
              </w:rPr>
              <w:t>Jacob, J. (n.d.). Feeding Ducks for Egg Production in Small Flocks. eXtension / University of Kentucky Cooperative Extension Poultry.</w:t>
            </w:r>
          </w:p>
        </w:tc>
        <w:tc>
          <w:tcPr>
            <w:tcW w:type="dxa" w:w="1584"/>
          </w:tcPr>
          <w:p>
            <w:r/>
            <w:r>
              <w:rPr>
                <w:sz w:val="19"/>
              </w:rPr>
              <w:t>Feed intake rule (plausible range)</w:t>
            </w:r>
          </w:p>
        </w:tc>
        <w:tc>
          <w:tcPr>
            <w:tcW w:type="dxa" w:w="1296"/>
          </w:tcPr>
          <w:p>
            <w:r/>
            <w:r>
              <w:rPr>
                <w:sz w:val="19"/>
              </w:rPr>
              <w:t>Confirmed</w:t>
              <w:br/>
              <w:t>(read directly via extension.org)</w:t>
            </w:r>
          </w:p>
        </w:tc>
        <w:tc>
          <w:tcPr>
            <w:tcW w:type="dxa" w:w="3456"/>
          </w:tcPr>
          <w:p>
            <w:r/>
            <w:r>
              <w:rPr>
                <w:sz w:val="19"/>
              </w:rPr>
              <w:t>States ~120 g/bird/day baseline; notes other sources cite 140–200 g/bird/day depending on breed and foraging access. General duck-layer guidance, not itik/Anas platyrhynchos- or Philippines-specific.</w:t>
            </w:r>
          </w:p>
        </w:tc>
      </w:tr>
      <w:tr>
        <w:tc>
          <w:tcPr>
            <w:tcW w:type="dxa" w:w="432"/>
          </w:tcPr>
          <w:p>
            <w:r/>
            <w:r>
              <w:rPr>
                <w:sz w:val="19"/>
              </w:rPr>
              <w:t>3</w:t>
            </w:r>
          </w:p>
        </w:tc>
        <w:tc>
          <w:tcPr>
            <w:tcW w:type="dxa" w:w="3456"/>
          </w:tcPr>
          <w:p>
            <w:r/>
            <w:r>
              <w:rPr>
                <w:sz w:val="19"/>
              </w:rPr>
              <w:t>“Santiago et al. (2014)” — cited as the source of “Itik Pinas lines reach 98–100% egg production at 28–29 weeks of age” across multiple secondary web sources referencing PCAARRD-affiliated research.</w:t>
            </w:r>
          </w:p>
        </w:tc>
        <w:tc>
          <w:tcPr>
            <w:tcW w:type="dxa" w:w="1584"/>
          </w:tcPr>
          <w:p>
            <w:r/>
            <w:r>
              <w:rPr>
                <w:sz w:val="19"/>
              </w:rPr>
              <w:t>Flock age rule (peak laying window, also stated in itikcare-spec.md section 4)</w:t>
            </w:r>
          </w:p>
        </w:tc>
        <w:tc>
          <w:tcPr>
            <w:tcW w:type="dxa" w:w="1296"/>
          </w:tcPr>
          <w:p>
            <w:r/>
            <w:r>
              <w:rPr>
                <w:sz w:val="19"/>
              </w:rPr>
              <w:t>NOT independently verified</w:t>
            </w:r>
          </w:p>
        </w:tc>
        <w:tc>
          <w:tcPr>
            <w:tcW w:type="dxa" w:w="3456"/>
          </w:tcPr>
          <w:p>
            <w:r/>
            <w:r>
              <w:rPr>
                <w:sz w:val="19"/>
              </w:rPr>
              <w:t>Could not locate or open a primary source (journal page, PCAARRD original document, or indexed abstract) to confirm authorship, journal, or exact figures — ResearchGate and Philippine Journal of Science pages returned HTTP 403 (blocked/paywalled) during this session. Verify against your thesis's own Related Literature chapter before citing this in the manuscript.</w:t>
            </w:r>
          </w:p>
        </w:tc>
      </w:tr>
      <w:tr>
        <w:tc>
          <w:tcPr>
            <w:tcW w:type="dxa" w:w="432"/>
          </w:tcPr>
          <w:p>
            <w:r/>
            <w:r>
              <w:rPr>
                <w:sz w:val="19"/>
              </w:rPr>
              <w:t>4</w:t>
            </w:r>
          </w:p>
        </w:tc>
        <w:tc>
          <w:tcPr>
            <w:tcW w:type="dxa" w:w="3456"/>
          </w:tcPr>
          <w:p>
            <w:r/>
            <w:r>
              <w:rPr>
                <w:sz w:val="19"/>
              </w:rPr>
              <w:t>PCAARRD (DOST). “Itik Pinas improves egg production.” Quick Information Dispatch article.</w:t>
            </w:r>
          </w:p>
        </w:tc>
        <w:tc>
          <w:tcPr>
            <w:tcW w:type="dxa" w:w="1584"/>
          </w:tcPr>
          <w:p>
            <w:r/>
            <w:r>
              <w:rPr>
                <w:sz w:val="19"/>
              </w:rPr>
              <w:t>General Itik Pinas productivity context (not the specific age figure)</w:t>
            </w:r>
          </w:p>
        </w:tc>
        <w:tc>
          <w:tcPr>
            <w:tcW w:type="dxa" w:w="1296"/>
          </w:tcPr>
          <w:p>
            <w:r/>
            <w:r>
              <w:rPr>
                <w:sz w:val="19"/>
              </w:rPr>
              <w:t>Confirmed</w:t>
              <w:br/>
              <w:t>(read directly)</w:t>
            </w:r>
          </w:p>
        </w:tc>
        <w:tc>
          <w:tcPr>
            <w:tcW w:type="dxa" w:w="3456"/>
          </w:tcPr>
          <w:p>
            <w:r/>
            <w:r>
              <w:rPr>
                <w:sz w:val="19"/>
              </w:rPr>
              <w:t>States Itik Pinas has a 70% average productive period per year vs. 55% for the old/traditional breed. Does not confirm the 28–29-week peak-age figure — listed here only as a legitimate general-context source, kept separate from source #3's unverified specific claim.</w:t>
            </w:r>
          </w:p>
        </w:tc>
      </w:tr>
      <w:tr>
        <w:tc>
          <w:tcPr>
            <w:tcW w:type="dxa" w:w="432"/>
          </w:tcPr>
          <w:p>
            <w:r/>
            <w:r>
              <w:rPr>
                <w:sz w:val="19"/>
              </w:rPr>
              <w:t>5</w:t>
            </w:r>
          </w:p>
        </w:tc>
        <w:tc>
          <w:tcPr>
            <w:tcW w:type="dxa" w:w="3456"/>
          </w:tcPr>
          <w:p>
            <w:r/>
            <w:r>
              <w:rPr>
                <w:sz w:val="19"/>
              </w:rPr>
              <w:t>Multiple Pekin-duck relative-humidity studies (e.g. MDPI Animals 13(23):3711; PMC10705101) on growout and incubation humidity.</w:t>
            </w:r>
          </w:p>
        </w:tc>
        <w:tc>
          <w:tcPr>
            <w:tcW w:type="dxa" w:w="1584"/>
          </w:tcPr>
          <w:p>
            <w:r/>
            <w:r>
              <w:rPr>
                <w:sz w:val="19"/>
              </w:rPr>
              <w:t>Humidity rule (tangential context only)</w:t>
            </w:r>
          </w:p>
        </w:tc>
        <w:tc>
          <w:tcPr>
            <w:tcW w:type="dxa" w:w="1296"/>
          </w:tcPr>
          <w:p>
            <w:r/>
            <w:r>
              <w:rPr>
                <w:sz w:val="19"/>
              </w:rPr>
              <w:t>Confirmed</w:t>
              <w:br/>
              <w:t>(sources exist and were opened)</w:t>
            </w:r>
          </w:p>
        </w:tc>
        <w:tc>
          <w:tcPr>
            <w:tcW w:type="dxa" w:w="3456"/>
          </w:tcPr>
          <w:p>
            <w:r/>
            <w:r>
              <w:rPr>
                <w:sz w:val="19"/>
              </w:rPr>
              <w:t>These studies address meat-type Pekin duck growth/hatchability, not laying-duck egg yield — relevance to the humidity rule is weak/indirect. The humidity thresholds in this table remain primarily data-derived from ItikCare_Cleaned_Dataset.csv percentiles, not literature.</w:t>
            </w:r>
          </w:p>
        </w:tc>
      </w:tr>
    </w:tbl>
    <w:p/>
    <w:p>
      <w:r>
        <w:rPr>
          <w:i/>
          <w:color w:val="808080"/>
          <w:sz w:val="16"/>
        </w:rPr>
        <w:t>Generated by Claude Code from recommendations/rules.py and itikcare-spec.md, cross-checked against web sources on 2026-07-17. Review all “NOT independently verified” items before including them in the thesis manuscript.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