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Hashing vs Encryption</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The difference between hashing and encryption lies in their use cases. In particular, hashing is employed to either confirm the integrity of data or hold sensitive data like passwords in irreversible form, whereas encryption helps protect data that can eventually be retrieved by some other entity authorized for this task. Concerning “The Griot’s” objects, the main problems were not related to the algorithms but to improper application of the techniques available, with strong AES and HS256 falling victim to mismanagement of keys and permissions.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Crypto Failure Mapping</w:t>
      </w:r>
    </w:p>
    <w:p w:rsidR="00000000" w:rsidDel="00000000" w:rsidP="00000000" w:rsidRDefault="00000000" w:rsidRPr="00000000" w14:paraId="00000006">
      <w:pPr>
        <w:rPr>
          <w:sz w:val="28"/>
          <w:szCs w:val="28"/>
        </w:rPr>
      </w:pPr>
      <w:r w:rsidDel="00000000" w:rsidR="00000000" w:rsidRPr="00000000">
        <w:rPr>
          <w:sz w:val="28"/>
          <w:szCs w:val="28"/>
          <w:rtl w:val="0"/>
        </w:rPr>
        <w:tab/>
      </w:r>
      <w:r w:rsidDel="00000000" w:rsidR="00000000" w:rsidRPr="00000000">
        <w:rPr>
          <w:sz w:val="24"/>
          <w:szCs w:val="24"/>
          <w:rtl w:val="0"/>
        </w:rPr>
        <w:t xml:space="preserve">Below are each of the vulnerabilities that have been identified based on a weakness in cryptography that exists within the artifact in relation to the evidence pack provided: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85"/>
        <w:gridCol w:w="2670"/>
        <w:gridCol w:w="1665"/>
        <w:tblGridChange w:id="0">
          <w:tblGrid>
            <w:gridCol w:w="2340"/>
            <w:gridCol w:w="2685"/>
            <w:gridCol w:w="2670"/>
            <w:gridCol w:w="1665"/>
          </w:tblGrid>
        </w:tblGridChange>
      </w:tblGrid>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AES-CBC encryption key stored in same staging configuration as ciphertext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01-aes-recipe.md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Anyone with access to the configuration can decrypt protected data. Encryption provides no meaningful protection if key material is stored alongside encrypted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NIST SP 800-57 Part 1 Rev. 5 §5.3 (Key Management Separation)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AES-CBC IV stored alongside encryption material and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01-aes-recipe.md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Reusing an IV with CBC mode can reveal patterns between encrypted messages and weakens confidentiality guarantees.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NIST SP 800-38A §6.2 (CBC Mode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 HS256 signing secret (five-character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04-weak-jwt-hmac.txt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secret can be recovered through offline dictionary attacks, allowing attackers to forge valid JWTs.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NIST SP 800-63B §5.1.1; RFC 7518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Token A uses </w:t>
            </w:r>
            <w:r w:rsidDel="00000000" w:rsidR="00000000" w:rsidRPr="00000000">
              <w:rPr>
                <w:rFonts w:ascii="Roboto Mono" w:cs="Roboto Mono" w:eastAsia="Roboto Mono" w:hAnsi="Roboto Mono"/>
                <w:color w:val="188038"/>
                <w:rtl w:val="0"/>
              </w:rPr>
              <w:t xml:space="preserve">"alg":"none"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03-jwts.txt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validation can be bypassed entirely, allowing arbitrary token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RFC 7519 §6 (Unsecured JWTs)</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Token B lacks expiration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03-jwts.txt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Stolen tokens may remain valid indefinitely, increasing persistence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RFC 7519 §4.1.4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Claim)</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JWT Token C grants administrative privileges to a non-administrative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03-jwts.txt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Excessive privileges increase impact of account compromise and violate least-privilege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NIST SP 800-53 Rev. 5 AC-6 (Least Privilege)</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Legacy hard-coded secret remained active in production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04-weak-jwt-hmac.txt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Secrets embedded in code are difficult to rotate and often become publicly exposed through repositories, backups, or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NIST SP 800-57 Part 1 Rev. 5 §5.3</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Reconnaissance memo protected only by reversible encodings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05-layered-recon-note.txt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Encodings provide no confidentiality and should not be relied upon for protecting operational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RFC 4648 §1 (Base-N Encodings are representation formats, not encryption)</w:t>
            </w:r>
          </w:p>
        </w:tc>
      </w:tr>
    </w:tbl>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Title"/>
      <w:ind w:hanging="720"/>
      <w:jc w:val="center"/>
      <w:rPr/>
    </w:pPr>
    <w:bookmarkStart w:colFirst="0" w:colLast="0" w:name="_kv11anmplpyf" w:id="0"/>
    <w:bookmarkEnd w:id="0"/>
    <w:r w:rsidDel="00000000" w:rsidR="00000000" w:rsidRPr="00000000">
      <w:rPr>
        <w:rtl w:val="0"/>
      </w:rPr>
      <w:t xml:space="preserve">D1 - Crypto Failure Mapping</w:t>
    </w:r>
  </w:p>
  <w:p w:rsidR="00000000" w:rsidDel="00000000" w:rsidP="00000000" w:rsidRDefault="00000000" w:rsidRPr="00000000" w14:paraId="0000002F">
    <w:pPr>
      <w:pStyle w:val="Subtitle"/>
      <w:rPr/>
    </w:pPr>
    <w:bookmarkStart w:colFirst="0" w:colLast="0" w:name="_x3l648eybiwy" w:id="1"/>
    <w:bookmarkEnd w:id="1"/>
    <w:r w:rsidDel="00000000" w:rsidR="00000000" w:rsidRPr="00000000">
      <w:rPr>
        <w:rtl w:val="0"/>
      </w:rPr>
      <w:t xml:space="preserve">Stage 1 – Applied Cryptography </w:t>
      <w:tab/>
      <w:tab/>
      <w:t xml:space="preserve">Analyst: SpicyMeatball41</w:t>
      <w:br w:type="textWrapping"/>
      <w:t xml:space="preserve">Intern ID: UBI-2026-0257</w:t>
      <w:tab/>
      <w:tab/>
      <w:tab/>
      <w:tab/>
      <w:t xml:space="preserve">Date: 10-06-2026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