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4v1tp6xgicta"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ind w:firstLine="720"/>
        <w:rPr>
          <w:sz w:val="24"/>
          <w:szCs w:val="24"/>
        </w:rPr>
      </w:pPr>
      <w:r w:rsidDel="00000000" w:rsidR="00000000" w:rsidRPr="00000000">
        <w:rPr>
          <w:sz w:val="24"/>
          <w:szCs w:val="24"/>
          <w:rtl w:val="0"/>
        </w:rPr>
        <w:t xml:space="preserve">The artefacts gathered from the staging environment used by The Griot illustrate a trend where it is clear that while the cryptography behind the security algorithm might have been sound in itself, it was the issues related to weak key management, poor security key storage, improper use of tokens, and the continued use of legacy software that was no longer fit for purpose that caused the vulnerabilities.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ind w:firstLine="720"/>
        <w:rPr>
          <w:sz w:val="24"/>
          <w:szCs w:val="24"/>
        </w:rPr>
      </w:pPr>
      <w:r w:rsidDel="00000000" w:rsidR="00000000" w:rsidRPr="00000000">
        <w:rPr>
          <w:sz w:val="24"/>
          <w:szCs w:val="24"/>
          <w:rtl w:val="0"/>
        </w:rPr>
        <w:t xml:space="preserve">Below are listed several controls which relate directly to the failures identified above. They represent inexpensive and actionable measures that would prevent another attacker from using the techniques that worked against The Griot once more in the future.</w:t>
      </w:r>
    </w:p>
    <w:p w:rsidR="00000000" w:rsidDel="00000000" w:rsidP="00000000" w:rsidRDefault="00000000" w:rsidRPr="00000000" w14:paraId="00000005">
      <w:pPr>
        <w:ind w:left="0" w:firstLine="0"/>
        <w:rPr>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Control (specific)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Maps to D1 findings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Migrate sensitive application encryption from AES-CBC to AES-GCM and store all encryption keys in a managed secrets vault rather than application configuration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 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Eliminates key exposure in staging environments and replaces manual IV management with an authenticated encryption mode designed for modern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Adopt a centralized secrets-management policy prohibiting hard-coded keys, API secrets, JWT signing secrets, and cryptographic material in source code, configuration files, repositories,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 F3, F7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Prevents the same class of exposure that allowed both the AES key and the legacy JWT signing secret to remain recoverable long after deployment.</w:t>
            </w:r>
          </w:p>
        </w:tc>
      </w:tr>
    </w:tbl>
    <w:p w:rsidR="00000000" w:rsidDel="00000000" w:rsidP="00000000" w:rsidRDefault="00000000" w:rsidRPr="00000000" w14:paraId="00000012">
      <w:pPr>
        <w:ind w:left="0" w:firstLine="0"/>
        <w:rPr>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Fonts w:ascii="Arial Unicode MS" w:cs="Arial Unicode MS" w:eastAsia="Arial Unicode MS" w:hAnsi="Arial Unicode MS"/>
                <w:rtl w:val="0"/>
              </w:rPr>
              <w:t xml:space="preserve">Enforce minimum JWT security standards: HS256 secrets ≥32 random bytes, mandatory expiration (</w:t>
            </w:r>
            <w:r w:rsidDel="00000000" w:rsidR="00000000" w:rsidRPr="00000000">
              <w:rPr>
                <w:rFonts w:ascii="Roboto Mono" w:cs="Roboto Mono" w:eastAsia="Roboto Mono" w:hAnsi="Roboto Mono"/>
                <w:color w:val="188038"/>
                <w:rtl w:val="0"/>
              </w:rPr>
              <w:t xml:space="preserve">exp</w:t>
            </w:r>
            <w:r w:rsidDel="00000000" w:rsidR="00000000" w:rsidRPr="00000000">
              <w:rPr>
                <w:rtl w:val="0"/>
              </w:rPr>
              <w:t xml:space="preserve">), issuer (</w:t>
            </w:r>
            <w:r w:rsidDel="00000000" w:rsidR="00000000" w:rsidRPr="00000000">
              <w:rPr>
                <w:rFonts w:ascii="Roboto Mono" w:cs="Roboto Mono" w:eastAsia="Roboto Mono" w:hAnsi="Roboto Mono"/>
                <w:color w:val="188038"/>
                <w:rtl w:val="0"/>
              </w:rPr>
              <w:t xml:space="preserve">iss</w:t>
            </w:r>
            <w:r w:rsidDel="00000000" w:rsidR="00000000" w:rsidRPr="00000000">
              <w:rPr>
                <w:rtl w:val="0"/>
              </w:rPr>
              <w:t xml:space="preserve">), audience (</w:t>
            </w:r>
            <w:r w:rsidDel="00000000" w:rsidR="00000000" w:rsidRPr="00000000">
              <w:rPr>
                <w:rFonts w:ascii="Roboto Mono" w:cs="Roboto Mono" w:eastAsia="Roboto Mono" w:hAnsi="Roboto Mono"/>
                <w:color w:val="188038"/>
                <w:rtl w:val="0"/>
              </w:rPr>
              <w:t xml:space="preserve">aud</w:t>
            </w:r>
            <w:r w:rsidDel="00000000" w:rsidR="00000000" w:rsidRPr="00000000">
              <w:rPr>
                <w:rtl w:val="0"/>
              </w:rPr>
              <w:t xml:space="preserve">), and rejection of </w:t>
            </w:r>
            <w:r w:rsidDel="00000000" w:rsidR="00000000" w:rsidRPr="00000000">
              <w:rPr>
                <w:rFonts w:ascii="Roboto Mono" w:cs="Roboto Mono" w:eastAsia="Roboto Mono" w:hAnsi="Roboto Mono"/>
                <w:color w:val="188038"/>
                <w:rtl w:val="0"/>
              </w:rPr>
              <w:t xml:space="preserve">alg:none</w:t>
            </w:r>
            <w:r w:rsidDel="00000000" w:rsidR="00000000" w:rsidRPr="00000000">
              <w:rPr>
                <w:rtl w:val="0"/>
              </w:rPr>
              <w:t xml:space="preserve">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F3, F7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Strong, regularly rotated secrets make offline cracking impractical and limit the impact of any future secret disclosure.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Configure JWT validation to reject unsigned tokens, allow only approved algorithms, and require signature verification before processing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F4, 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Prevents attackers from creating forged tokens or abusing authentication weaknesses to obtain elevated privileges.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Require expiration, audience, issuer, and role-validation checks for all JWTs, and classify reconnaissance notes, system inventories, and operational intelligence as protected internal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F5, F6, F8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Reduces the lifetime of stolen tokens while ensuring that sensitive operational information is not protected solely by reversible encodings.</w:t>
            </w:r>
          </w:p>
        </w:tc>
      </w:tr>
    </w:tbl>
    <w:p w:rsidR="00000000" w:rsidDel="00000000" w:rsidP="00000000" w:rsidRDefault="00000000" w:rsidRPr="00000000" w14:paraId="00000021">
      <w:pPr>
        <w:rPr>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Style w:val="Title"/>
      <w:jc w:val="center"/>
      <w:rPr/>
    </w:pPr>
    <w:bookmarkStart w:colFirst="0" w:colLast="0" w:name="_58pj2uiyrohr" w:id="1"/>
    <w:bookmarkEnd w:id="1"/>
    <w:r w:rsidDel="00000000" w:rsidR="00000000" w:rsidRPr="00000000">
      <w:rPr>
        <w:rtl w:val="0"/>
      </w:rPr>
      <w:t xml:space="preserve">D3 – The Five Controls</w:t>
    </w:r>
  </w:p>
  <w:p w:rsidR="00000000" w:rsidDel="00000000" w:rsidP="00000000" w:rsidRDefault="00000000" w:rsidRPr="00000000" w14:paraId="00000024">
    <w:pPr>
      <w:pStyle w:val="Subtitle"/>
      <w:rPr/>
    </w:pPr>
    <w:bookmarkStart w:colFirst="0" w:colLast="0" w:name="_1myr6ey2h20l" w:id="2"/>
    <w:bookmarkEnd w:id="2"/>
    <w:r w:rsidDel="00000000" w:rsidR="00000000" w:rsidRPr="00000000">
      <w:rPr>
        <w:rtl w:val="0"/>
      </w:rPr>
      <w:t xml:space="preserve">Stage 2 - </w:t>
      <w:tab/>
      <w:t xml:space="preserve">Web Application Security</w:t>
      <w:tab/>
      <w:tab/>
      <w:t xml:space="preserve">Analyst: SpicyMeatball41</w:t>
      <w:br w:type="textWrapping"/>
      <w:t xml:space="preserve">Intern ID: UBI-2026-0257</w:t>
      <w:tab/>
      <w:tab/>
      <w:tab/>
      <w:tab/>
      <w:t xml:space="preserve">Date: 10-06-2026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