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36" w:before="36" w:lineRule="auto"/>
        <w:ind w:firstLine="720"/>
        <w:rPr>
          <w:sz w:val="24"/>
          <w:szCs w:val="24"/>
        </w:rPr>
      </w:pPr>
      <w:r w:rsidDel="00000000" w:rsidR="00000000" w:rsidRPr="00000000">
        <w:rPr>
          <w:sz w:val="24"/>
          <w:szCs w:val="24"/>
          <w:rtl w:val="0"/>
        </w:rPr>
        <w:t xml:space="preserve">In case of receiving an interview request from the journalist with a request for "background, off the record," I will refuse to give additional background on the matter except publicly available information that Sankofa Digital published about it. Although I am on personal terms with the journalist, I am unable to ensure how the provided information can be further used, so my obligation as a professional is to protect the confidentiality of investigation material. In my case, the collected evidence including the source code of the system that was retrieved, attacker HTTP capture, JWT tokens, XML import example, and confirmed export affecting 312 customer records are owned by the company and should be communicated through its proper process.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sz w:val="24"/>
          <w:szCs w:val="24"/>
        </w:rPr>
      </w:pPr>
      <w:r w:rsidDel="00000000" w:rsidR="00000000" w:rsidRPr="00000000">
        <w:rPr>
          <w:sz w:val="24"/>
          <w:szCs w:val="24"/>
          <w:rtl w:val="0"/>
        </w:rPr>
        <w:t xml:space="preserve">Whatever I document will be based on facts and evidence, and will only go to those who need to know about the situation, which include incident response team, legal, executives and Regulator, as the case may be. I will document things as is from what I see, including evidence which supports what I have written down. I will make it very clear what is fact versus an assumption. I would not speculate who launched this attack and finger anyone without knowing any proof they did.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4"/>
          <w:szCs w:val="24"/>
        </w:rPr>
      </w:pPr>
      <w:r w:rsidDel="00000000" w:rsidR="00000000" w:rsidRPr="00000000">
        <w:rPr>
          <w:sz w:val="24"/>
          <w:szCs w:val="24"/>
          <w:rtl w:val="0"/>
        </w:rPr>
        <w:tab/>
        <w:t xml:space="preserve">In case there are any documents proving that certain individuals were aware of the fact that the legacy admin application has exceeded its scheduled lifetime, I will keep the documents as collected and pass them on without any change to the incident response lead, Head of Security, and legal counsel. In case the document can exonerate someone who is falsely blamed, it needs to be submitted. In case it incriminates a higher official, it also needs to be submitted. It is my duty to submit the truth regardless of the reputation of the individual or any other considerations because of ISC² Code of Ethics Canon II – “Act honorably, honestly, justly, responsibly, and legally.”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sz w:val="24"/>
          <w:szCs w:val="24"/>
        </w:rPr>
      </w:pPr>
      <w:r w:rsidDel="00000000" w:rsidR="00000000" w:rsidRPr="00000000">
        <w:rPr>
          <w:sz w:val="24"/>
          <w:szCs w:val="24"/>
          <w:rtl w:val="0"/>
        </w:rPr>
        <w:t xml:space="preserve">Despite my manager’s opinion on the matter, I will make sure that the proven exposure of personal information of customers gets elevated to the appropriate levels, so that Sankofa is able to comply with the requirements of the Nigeria Data Protection Act (NDPA) 2023. As soon as the investigation shows that there was an exposure of personal data, the company is required to notify NDPC of the incident within the statutory notification period, as well as to inform the data subjects whose data has been exposed in case there is a high probability that their rights and freedoms will be violated. My investigation showed that the number of records that were exposed amounts to 312 of customers’ personally identifiable information. My actions are also inspired by the requirement of the ISC² Canon I that says: “Protect society, the common good, necessary public trust and confidence, and the infrastructure.”</w:t>
      </w:r>
      <w:r w:rsidDel="00000000" w:rsidR="00000000" w:rsidRPr="00000000">
        <w:rPr>
          <w:rtl w:val="0"/>
        </w:rPr>
      </w:r>
    </w:p>
    <w:sectPr>
      <w:headerReference r:id="rId7" w:type="first"/>
      <w:footerReference r:id="rId8"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pStyle w:val="Title"/>
      <w:rPr>
        <w:color w:val="000000"/>
      </w:rPr>
    </w:pPr>
    <w:bookmarkStart w:colFirst="0" w:colLast="0" w:name="_heading=h.a9k35mdbhlig" w:id="0"/>
    <w:bookmarkEnd w:id="0"/>
    <w:r w:rsidDel="00000000" w:rsidR="00000000" w:rsidRPr="00000000">
      <w:rPr>
        <w:color w:val="000000"/>
        <w:rtl w:val="0"/>
      </w:rPr>
      <w:t xml:space="preserve">D4 – Ethics Stance – The Legacy-Admin Breach</w:t>
    </w:r>
  </w:p>
  <w:p w:rsidR="00000000" w:rsidDel="00000000" w:rsidP="00000000" w:rsidRDefault="00000000" w:rsidRPr="00000000" w14:paraId="00000007">
    <w:pPr>
      <w:pStyle w:val="Subtitle"/>
      <w:jc w:val="left"/>
      <w:rPr>
        <w:color w:val="000000"/>
      </w:rPr>
    </w:pPr>
    <w:bookmarkStart w:colFirst="0" w:colLast="0" w:name="_heading=h.mm3j1ddapagi" w:id="1"/>
    <w:bookmarkEnd w:id="1"/>
    <w:r w:rsidDel="00000000" w:rsidR="00000000" w:rsidRPr="00000000">
      <w:rPr>
        <w:color w:val="000000"/>
        <w:rtl w:val="0"/>
      </w:rPr>
      <w:t xml:space="preserve">Stage 2 – Web Application Security</w:t>
      <w:tab/>
      <w:tab/>
      <w:tab/>
      <w:tab/>
      <w:t xml:space="preserve">Analyst: SpicyMeatball41</w:t>
      <w:br w:type="textWrapping"/>
      <w:t xml:space="preserve">Intern ID: UBI-2026-0257</w:t>
      <w:tab/>
      <w:tab/>
      <w:tab/>
      <w:tab/>
      <w:tab/>
      <w:tab/>
      <w:t xml:space="preserve">Date: 18-06-2026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1e40af"/>
      <w:sz w:val="32"/>
      <w:szCs w:val="32"/>
    </w:rPr>
  </w:style>
  <w:style w:type="paragraph" w:styleId="Heading2">
    <w:name w:val="heading 2"/>
    <w:basedOn w:val="Normal"/>
    <w:next w:val="Normal"/>
    <w:pPr>
      <w:keepNext w:val="1"/>
      <w:keepLines w:val="1"/>
      <w:spacing w:after="80" w:before="160" w:lineRule="auto"/>
    </w:pPr>
    <w:rPr>
      <w:rFonts w:ascii="Calibri" w:cs="Calibri" w:eastAsia="Calibri" w:hAnsi="Calibri"/>
      <w:color w:val="1e40af"/>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f172a"/>
      <w:sz w:val="23"/>
      <w:szCs w:val="23"/>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Calibri" w:cs="Calibri" w:eastAsia="Calibri" w:hAnsi="Calibri"/>
      <w:color w:val="1e40af"/>
      <w:sz w:val="46"/>
      <w:szCs w:val="46"/>
    </w:rPr>
  </w:style>
  <w:style w:type="paragraph" w:styleId="Subtitle">
    <w:name w:val="Subtitle"/>
    <w:basedOn w:val="Normal"/>
    <w:next w:val="Normal"/>
    <w:pPr>
      <w:spacing w:after="80" w:line="240" w:lineRule="auto"/>
      <w:jc w:val="center"/>
    </w:pPr>
    <w:rPr>
      <w:rFonts w:ascii="Calibri" w:cs="Calibri" w:eastAsia="Calibri" w:hAnsi="Calibri"/>
      <w:color w:val="1e40a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XxX3LHmL3BOtaUf4G7LH1z4fQ==">CgMxLjAyDmguYTlrMzVtZGJobGlnMg5oLm1tM2oxZGRhcGFnaTgAciExOUN2OV90TDcxaWVGZU9STDVQWFNHUy1iTmxGN1B0TVg=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