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Stage 4</w:t>
        <w:tab/>
        <w:t xml:space="preserve">Task 1</w:t>
        <w:tab/>
        <w:tab/>
        <w:t xml:space="preserve">SpicyMeatball41</w:t>
        <w:tab/>
        <w:tab/>
        <w:t xml:space="preserve">UBI-2026-0257</w:t>
      </w:r>
    </w:p>
    <w:p w:rsidR="00000000" w:rsidDel="00000000" w:rsidP="00000000" w:rsidRDefault="00000000" w:rsidRPr="00000000" w14:paraId="00000002">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RISK REGISTER TABLE</w:t>
      </w:r>
    </w:p>
    <w:p w:rsidR="00000000" w:rsidDel="00000000" w:rsidP="00000000" w:rsidRDefault="00000000" w:rsidRPr="00000000" w14:paraId="00000004">
      <w:pPr>
        <w:rPr>
          <w:b w:val="1"/>
          <w:bCs w:val="1"/>
          <w:sz w:val="24"/>
          <w:szCs w:val="24"/>
        </w:rPr>
      </w:pPr>
      <w:r w:rsidDel="00000000" w:rsidR="00000000" w:rsidRPr="00000000">
        <w:rPr>
          <w:rtl w:val="0"/>
        </w:rPr>
      </w:r>
    </w:p>
    <w:tbl>
      <w:tblPr>
        <w:tblStyle w:val="Table1"/>
        <w:tblW w:w="1138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15"/>
        <w:gridCol w:w="1500"/>
        <w:gridCol w:w="1260"/>
        <w:gridCol w:w="1710"/>
        <w:gridCol w:w="1530"/>
        <w:gridCol w:w="1830"/>
        <w:tblGridChange w:id="0">
          <w:tblGrid>
            <w:gridCol w:w="840"/>
            <w:gridCol w:w="2715"/>
            <w:gridCol w:w="1500"/>
            <w:gridCol w:w="1260"/>
            <w:gridCol w:w="1710"/>
            <w:gridCol w:w="153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Risk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Likelihood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(1-5) +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Impact (1-5) +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Control (Concrete)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Owner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Evidence Cite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Adversary regains foothold via the same workstation persistence mechanism (.bashrc-sourced binary) if it is not removed and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 same key used across 3 sessions over 4 days with no rotation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 full host compromise; root access obtained within 6 minutes of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Deploy short-lived SSH certificates via HashiCorp Vault SSH Secrets Engine; enforce 90-day max key lifetime fleet-wide.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Head of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3 Task 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3 Task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 unreviewed sudoers entry granting an interactive binary (less) could be used to escalate any standard user to root with no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 entry existed with no ticket, no author, and was exploited the same day it was likely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 full administrative takeover; root used for persistence install and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 a CI pre-commit hook rejecting any sudoers entry referencing GTFOBins-listed binaries (less, vim, man,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Security Architecture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1 Task 3 + Stage 3 Task 1</w:t>
            </w:r>
          </w:p>
        </w:tc>
      </w:tr>
      <w:tr>
        <w:trPr>
          <w:cantSplit w:val="0"/>
          <w:trHeight w:val="2159.824218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persistence mechanism installed via shell config, autostart, or cron could survive a routine reboot or password reset undetected, because no file integrity monitoring covers user dotfiles.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 three independent persistence mechanisms installed in under 2 minutes, none alerted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 enables long-term covert access; attacker's own note states intent to stay dormant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Deploy Wazuh agents with realtime syscheck on 100% of in-scope endpoints, watching ~/.bashrc, ~/.config/autostart/, and /etc/cron.d/, 30-day log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Operations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3 Task 2 + Stage 3 Task 5</w:t>
            </w:r>
          </w:p>
        </w:tc>
      </w:tr>
    </w:tbl>
    <w:p w:rsidR="00000000" w:rsidDel="00000000" w:rsidP="00000000" w:rsidRDefault="00000000" w:rsidRPr="00000000" w14:paraId="00000023">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tbl>
      <w:tblPr>
        <w:tblStyle w:val="Table2"/>
        <w:tblW w:w="1147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715"/>
        <w:gridCol w:w="1500"/>
        <w:gridCol w:w="1140"/>
        <w:gridCol w:w="1440"/>
        <w:gridCol w:w="1560"/>
        <w:gridCol w:w="2190"/>
        <w:tblGridChange w:id="0">
          <w:tblGrid>
            <w:gridCol w:w="930"/>
            <w:gridCol w:w="2715"/>
            <w:gridCol w:w="1500"/>
            <w:gridCol w:w="1140"/>
            <w:gridCol w:w="1440"/>
            <w:gridCol w:w="156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A critical SIEM alert for active exfiltration could go unactioned long enough for the transfer to complete, because no acknowledgement SLA exists for critical-severity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3 — both the beacon alert (02:15) and exfil alert (03:01) fired correctly but neither triggered action before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4 — confirmed exfiltration of customer and transaction data within 3 minutes of the exfil alert firing.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Implement a 30-minute mandatory acknowledgement SLA on all critical severity SIEM rules, enforced via PagerDuty escalation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SOC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Stage 3 Task 2 + Stage 3 Task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Customer and transaction data accessible from a single finance analyst workstation could expose the organisation to regulatory notification obligations, because no data minimisation or DLP control restricts what such hosts can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3 — files were present in /tmp on a standard workstation with no apparent access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5 — confirmed exfiltration of customer PII and financial transaction records; NDPA 2023 §40 notification threshold assessment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Deploy DLP policy restricting bulk read/copy of customer and transaction datasets to approved finance-system endpoints only; enforce via endpoint DLP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Data Protection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Stage 3 Task 3 + Stage 3 Task 5</w:t>
            </w:r>
          </w:p>
        </w:tc>
      </w:tr>
    </w:tbl>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32"/>
          <w:szCs w:val="32"/>
          <w:rtl w:val="0"/>
        </w:rPr>
        <w:t xml:space="preserve">COMMENTARY</w:t>
      </w:r>
      <w:r w:rsidDel="00000000" w:rsidR="00000000" w:rsidRPr="00000000">
        <w:rPr>
          <w:rtl w:val="0"/>
        </w:rPr>
      </w:r>
    </w:p>
    <w:p w:rsidR="00000000" w:rsidDel="00000000" w:rsidP="00000000" w:rsidRDefault="00000000" w:rsidRPr="00000000" w14:paraId="00000035">
      <w:pPr>
        <w:ind w:firstLine="720"/>
        <w:rPr>
          <w:sz w:val="24"/>
          <w:szCs w:val="24"/>
        </w:rPr>
      </w:pPr>
      <w:r w:rsidDel="00000000" w:rsidR="00000000" w:rsidRPr="00000000">
        <w:rPr>
          <w:sz w:val="24"/>
          <w:szCs w:val="24"/>
          <w:rtl w:val="0"/>
        </w:rPr>
        <w:t xml:space="preserve">Likelihood and impact ratings use the qualitative 1–5 rating scale in NIST SP 800-30r1 Appendix G, whereby likelihood measures the probability of the occurrence of the threat taking into account the current control posture while impact denotes the level of damage to operations, assets or people. R-002 obtains the maximum ratings on both because one misconfigured line represents the complete sequence of events – the most likely threat to occur and the one that would cause the greatest harm if it were to occur.</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b w:val="1"/>
          <w:bCs w:val="1"/>
          <w:sz w:val="24"/>
          <w:szCs w:val="24"/>
          <w:rtl w:val="0"/>
        </w:rPr>
        <w:t xml:space="preserve">ISO 27001:2022 Annex A controls Cited</w:t>
      </w:r>
      <w:r w:rsidDel="00000000" w:rsidR="00000000" w:rsidRPr="00000000">
        <w:rPr>
          <w:sz w:val="24"/>
          <w:szCs w:val="24"/>
          <w:rtl w:val="0"/>
        </w:rPr>
        <w:t xml:space="preserve">: A.8.16 Monitoring activities (R-001, R-004) · A.8.2 Privileged access rights (R-002) · A.5.17 Authentication information (R-003) · A.8.12 Data leakage prevention (R-005). Confirmed from the 2022 93-control framework.</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NIST CSF 2.0 categories:</w:t>
      </w:r>
      <w:r w:rsidDel="00000000" w:rsidR="00000000" w:rsidRPr="00000000">
        <w:rPr>
          <w:sz w:val="24"/>
          <w:szCs w:val="24"/>
          <w:rtl w:val="0"/>
        </w:rPr>
        <w:t xml:space="preserve"> DE.CM-01 (R-001) · PR.AA-05 (R-002) · PR.AA-01 (R-003) · RS.MA-01 (R-004).</w:t>
      </w:r>
      <w:r w:rsidDel="00000000" w:rsidR="00000000" w:rsidRPr="00000000">
        <w:br w:type="page"/>
      </w:r>
      <w:r w:rsidDel="00000000" w:rsidR="00000000" w:rsidRPr="00000000">
        <w:rPr>
          <w:rtl w:val="0"/>
        </w:rPr>
      </w:r>
    </w:p>
    <w:p w:rsidR="00000000" w:rsidDel="00000000" w:rsidP="00000000" w:rsidRDefault="00000000" w:rsidRPr="00000000" w14:paraId="0000003A">
      <w:pPr>
        <w:rPr>
          <w:b w:val="1"/>
          <w:bCs w:val="1"/>
          <w:sz w:val="32"/>
          <w:szCs w:val="32"/>
        </w:rPr>
      </w:pPr>
      <w:r w:rsidDel="00000000" w:rsidR="00000000" w:rsidRPr="00000000">
        <w:rPr>
          <w:b w:val="1"/>
          <w:bCs w:val="1"/>
          <w:sz w:val="32"/>
          <w:szCs w:val="32"/>
          <w:rtl w:val="0"/>
        </w:rPr>
        <w:t xml:space="preserve">ONE MISTAKE I ALMOST MADE</w:t>
      </w:r>
    </w:p>
    <w:p w:rsidR="00000000" w:rsidDel="00000000" w:rsidP="00000000" w:rsidRDefault="00000000" w:rsidRPr="00000000" w14:paraId="0000003B">
      <w:pPr>
        <w:ind w:firstLine="720"/>
        <w:rPr>
          <w:sz w:val="24"/>
          <w:szCs w:val="24"/>
        </w:rPr>
      </w:pPr>
      <w:r w:rsidDel="00000000" w:rsidR="00000000" w:rsidRPr="00000000">
        <w:rPr>
          <w:sz w:val="24"/>
          <w:szCs w:val="24"/>
          <w:rtl w:val="0"/>
        </w:rPr>
        <w:t xml:space="preserve">At the beginning, my impact score for R-005 was R-005 at impact level 3 since I considered the size of the file; customers.csv and transactions.csv files together were just 20KB and, therefore, minimal considering that it is not even an infiltration of the entire system. I did not separate the technical impact from the regulatory impact. The size of the files is not relevant to the number of people whose PII will be found in those files. Exfiltration of any customer’s PII has been identified by NDPA 2023 §40 and is, therefore, an impact level 5 incident irrespective of the file size.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