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12"/>
          <w:szCs w:val="12"/>
        </w:rPr>
      </w:pPr>
      <w:r w:rsidDel="00000000" w:rsidR="00000000" w:rsidRPr="00000000">
        <w:rPr>
          <w:b w:val="1"/>
          <w:bCs w:val="1"/>
          <w:sz w:val="20"/>
          <w:szCs w:val="20"/>
          <w:rtl w:val="0"/>
        </w:rPr>
        <w:t xml:space="preserve">Slide title: </w:t>
      </w:r>
      <w:r w:rsidDel="00000000" w:rsidR="00000000" w:rsidRPr="00000000">
        <w:rPr>
          <w:sz w:val="20"/>
          <w:szCs w:val="20"/>
          <w:rtl w:val="0"/>
        </w:rPr>
        <w:t xml:space="preserve">“SANKOFA BREACH CONFIRMED – BOARD ACTION REQUIRED TODAY”</w:t>
      </w:r>
      <w:r w:rsidDel="00000000" w:rsidR="00000000" w:rsidRPr="00000000">
        <w:rPr>
          <w:sz w:val="14"/>
          <w:szCs w:val="14"/>
          <w:rtl w:val="0"/>
        </w:rPr>
        <w:br w:type="textWrapping"/>
      </w:r>
      <w:r w:rsidDel="00000000" w:rsidR="00000000" w:rsidRPr="00000000">
        <w:rPr>
          <w:b w:val="1"/>
          <w:bCs w:val="1"/>
          <w:sz w:val="20"/>
          <w:szCs w:val="20"/>
          <w:rtl w:val="0"/>
        </w:rPr>
        <w:t xml:space="preserve">Slide Anchors</w:t>
      </w:r>
      <w:r w:rsidDel="00000000" w:rsidR="00000000" w:rsidRPr="00000000">
        <w:rPr>
          <w:b w:val="1"/>
          <w:bCs w:val="1"/>
          <w:sz w:val="20"/>
          <w:szCs w:val="20"/>
          <w:rtl w:val="0"/>
        </w:rPr>
        <w:t xml:space="preserve">:</w:t>
        <w:br w:type="textWrapping"/>
      </w:r>
      <w:r w:rsidDel="00000000" w:rsidR="00000000" w:rsidRPr="00000000">
        <w:rPr>
          <w:sz w:val="14"/>
          <w:szCs w:val="14"/>
          <w:rtl w:val="0"/>
        </w:rPr>
        <w:t xml:space="preserve">1. </w:t>
      </w:r>
      <w:r w:rsidDel="00000000" w:rsidR="00000000" w:rsidRPr="00000000">
        <w:rPr>
          <w:sz w:val="14"/>
          <w:szCs w:val="14"/>
          <w:rtl w:val="0"/>
        </w:rPr>
        <w:t xml:space="preserve">84,210 customer PII records exposed — cite: Stage 2 Task 1, scan-vuln.txt customer_pii index, 84,210 docs, Elasticsearch security disabled</w:t>
        <w:br w:type="textWrapping"/>
        <w:t xml:space="preserve">2. </w:t>
      </w:r>
      <w:r w:rsidDel="00000000" w:rsidR="00000000" w:rsidRPr="00000000">
        <w:rPr>
          <w:sz w:val="14"/>
          <w:szCs w:val="14"/>
          <w:rtl w:val="0"/>
        </w:rPr>
        <w:t xml:space="preserve">6 minutes from initial access to full root control — cite: Stage 3 Task 2, timeline rows 02:07:55 (SSH login) to 02:13:08 (root execution confirmed, 03-syslog.txt)</w:t>
        <w:br w:type="textWrapping"/>
        <w:t xml:space="preserve">3. ₦10M minimum NDPC fine exposure — cite: NDPA 2023 §44, the greater of ₦10M or 2% of annual gross revenue, whichever is higher</w:t>
      </w:r>
      <w:r w:rsidDel="00000000" w:rsidR="00000000" w:rsidRPr="00000000">
        <w:rPr>
          <w:sz w:val="12"/>
          <w:szCs w:val="12"/>
          <w:rtl w:val="0"/>
        </w:rPr>
        <w:br w:type="textWrapping"/>
      </w:r>
      <w:r w:rsidDel="00000000" w:rsidR="00000000" w:rsidRPr="00000000">
        <w:rPr>
          <w:b w:val="1"/>
          <w:bCs w:val="1"/>
          <w:sz w:val="20"/>
          <w:szCs w:val="20"/>
          <w:rtl w:val="0"/>
        </w:rPr>
        <w:t xml:space="preserve">D</w:t>
      </w:r>
      <w:r w:rsidDel="00000000" w:rsidR="00000000" w:rsidRPr="00000000">
        <w:rPr>
          <w:b w:val="1"/>
          <w:bCs w:val="1"/>
          <w:sz w:val="20"/>
          <w:szCs w:val="20"/>
          <w:rtl w:val="0"/>
        </w:rPr>
        <w:t xml:space="preserve">escription: </w:t>
      </w:r>
      <w:r w:rsidDel="00000000" w:rsidR="00000000" w:rsidRPr="00000000">
        <w:rPr>
          <w:sz w:val="14"/>
          <w:szCs w:val="14"/>
          <w:rtl w:val="0"/>
        </w:rPr>
        <w:t xml:space="preserve">The slide features a risk score bar chart indicating both ‘before’ and ‘after’ scores for 5 risks. Risks number R-001 to R-005 are presented on the chart by pairs of horizontal bars: the red one showing the present residual risk score and the green one – the projected residual risk score following the implementation of a 90-day control programme suggested by us. The slide proves a single point by visual means – all 5 risks move down from score 3-5 to score 2 due to three concrete controls implemented.</w:t>
      </w:r>
      <w:r w:rsidDel="00000000" w:rsidR="00000000" w:rsidRPr="00000000">
        <w:rPr>
          <w:sz w:val="12"/>
          <w:szCs w:val="12"/>
          <w:rtl w:val="0"/>
        </w:rPr>
        <w:br w:type="textWrapping"/>
      </w:r>
      <w:r w:rsidDel="00000000" w:rsidR="00000000" w:rsidRPr="00000000">
        <w:rPr>
          <w:b w:val="1"/>
          <w:bCs w:val="1"/>
          <w:sz w:val="20"/>
          <w:szCs w:val="20"/>
          <w:rtl w:val="0"/>
        </w:rPr>
        <w:t xml:space="preserve">The ask: </w:t>
      </w:r>
      <w:r w:rsidDel="00000000" w:rsidR="00000000" w:rsidRPr="00000000">
        <w:rPr>
          <w:sz w:val="14"/>
          <w:szCs w:val="14"/>
          <w:rtl w:val="0"/>
        </w:rPr>
        <w:t xml:space="preserve">Three missing controls facilitated the breach as follows: an unchecked sudoers file entry made the user session root within six minutes (Stage 3 Task 1); a .bashrc persistence mechanism went unnoticed for four days (Stage 3 Task 2); a non-rotating static SSH key authenticated three sessions (Stage 3 Task 2). Approval from the board to fund a 90-day control program that fixes all three weaknesses is requested; cost category: medium; owners: Head of Security Engineering and Head of Infrastructure.</w:t>
      </w:r>
      <w:r w:rsidDel="00000000" w:rsidR="00000000" w:rsidRPr="00000000">
        <w:rPr>
          <w:rtl w:val="0"/>
        </w:rPr>
      </w:r>
    </w:p>
    <w:p w:rsidR="00000000" w:rsidDel="00000000" w:rsidP="00000000" w:rsidRDefault="00000000" w:rsidRPr="00000000" w14:paraId="00000002">
      <w:pPr>
        <w:spacing w:after="240" w:before="240" w:lineRule="auto"/>
        <w:rPr>
          <w:sz w:val="12"/>
          <w:szCs w:val="12"/>
        </w:rPr>
      </w:pPr>
      <w:r w:rsidDel="00000000" w:rsidR="00000000" w:rsidRPr="00000000">
        <w:rPr>
          <w:b w:val="1"/>
          <w:bCs w:val="1"/>
          <w:sz w:val="20"/>
          <w:szCs w:val="20"/>
          <w:rtl w:val="0"/>
        </w:rPr>
        <w:t xml:space="preserve">Speaking notes:</w:t>
        <w:br w:type="textWrapping"/>
      </w:r>
      <w:r w:rsidDel="00000000" w:rsidR="00000000" w:rsidRPr="00000000">
        <w:rPr>
          <w:sz w:val="12"/>
          <w:szCs w:val="12"/>
          <w:rtl w:val="0"/>
        </w:rPr>
        <w:t xml:space="preserve">On 14 January, an attacker used a stolen key to enter one workstation and reached full administrative control in six minutes. (Stage 3 Task 2)</w:t>
        <w:br w:type="textWrapping"/>
        <w:t xml:space="preserve">They accessed 84,210 customer records and confirmed financial transaction data — that data has left our control. (Stage 2 Task 1)</w:t>
        <w:br w:type="textWrapping"/>
        <w:t xml:space="preserve">We have isolated the host and filed a mandatory breach notification with the NDPC under §40 — the 72-hour clock has been met. (Stage 4 NDPC letter)</w:t>
        <w:br w:type="textWrapping"/>
        <w:t xml:space="preserve">The chart shows five confirmed risks and what each drops to once the three proposed controls are live — the board is looking at a closeable gap. (Stage 4 Task 1 risk register)</w:t>
        <w:br w:type="textWrapping"/>
        <w:t xml:space="preserve">We are asking for one decision today: authorise the 90-day programme, name the budget tier, confirm the owner roles. (Stage 4 Task 1)</w:t>
      </w:r>
    </w:p>
    <w:p w:rsidR="00000000" w:rsidDel="00000000" w:rsidP="00000000" w:rsidRDefault="00000000" w:rsidRPr="00000000" w14:paraId="00000003">
      <w:pPr>
        <w:spacing w:after="240" w:before="240" w:lineRule="auto"/>
        <w:rPr>
          <w:b w:val="1"/>
          <w:bCs w:val="1"/>
          <w:sz w:val="20"/>
          <w:szCs w:val="20"/>
        </w:rPr>
      </w:pPr>
      <w:r w:rsidDel="00000000" w:rsidR="00000000" w:rsidRPr="00000000">
        <w:rPr>
          <w:b w:val="1"/>
          <w:bCs w:val="1"/>
          <w:sz w:val="20"/>
          <w:szCs w:val="20"/>
          <w:rtl w:val="0"/>
        </w:rPr>
        <w:t xml:space="preserve">Anticipated board questions + answers:</w:t>
      </w:r>
    </w:p>
    <w:p w:rsidR="00000000" w:rsidDel="00000000" w:rsidP="00000000" w:rsidRDefault="00000000" w:rsidRPr="00000000" w14:paraId="00000004">
      <w:pPr>
        <w:numPr>
          <w:ilvl w:val="0"/>
          <w:numId w:val="2"/>
        </w:numPr>
        <w:spacing w:after="0" w:afterAutospacing="0" w:before="240" w:lineRule="auto"/>
        <w:ind w:left="720" w:hanging="360"/>
        <w:rPr>
          <w:sz w:val="14"/>
          <w:szCs w:val="14"/>
        </w:rPr>
      </w:pPr>
      <w:r w:rsidDel="00000000" w:rsidR="00000000" w:rsidRPr="00000000">
        <w:rPr>
          <w:sz w:val="14"/>
          <w:szCs w:val="14"/>
          <w:rtl w:val="0"/>
        </w:rPr>
        <w:t xml:space="preserve">Q: Which single control would have broken the exploit chain earlier — removing legacy-admin, fixing the sudoers entry, disabling XML external entities, or isolating host-87 sooner? </w:t>
      </w:r>
    </w:p>
    <w:p w:rsidR="00000000" w:rsidDel="00000000" w:rsidP="00000000" w:rsidRDefault="00000000" w:rsidRPr="00000000" w14:paraId="00000005">
      <w:pPr>
        <w:numPr>
          <w:ilvl w:val="1"/>
          <w:numId w:val="2"/>
        </w:numPr>
        <w:spacing w:after="0" w:afterAutospacing="0" w:before="0" w:beforeAutospacing="0" w:lineRule="auto"/>
        <w:ind w:left="1440" w:hanging="360"/>
        <w:rPr>
          <w:sz w:val="14"/>
          <w:szCs w:val="14"/>
        </w:rPr>
      </w:pPr>
      <w:r w:rsidDel="00000000" w:rsidR="00000000" w:rsidRPr="00000000">
        <w:rPr>
          <w:sz w:val="14"/>
          <w:szCs w:val="14"/>
          <w:rtl w:val="0"/>
        </w:rPr>
        <w:t xml:space="preserve">A: The sudoers entry — removing less from NOPASSWD would have stopped the escalation to root at minute six and prevented everything that followed. (Stage 3 Task 1, /etc/sudoers.d/90-ops)</w:t>
      </w:r>
    </w:p>
    <w:p w:rsidR="00000000" w:rsidDel="00000000" w:rsidP="00000000" w:rsidRDefault="00000000" w:rsidRPr="00000000" w14:paraId="00000006">
      <w:pPr>
        <w:numPr>
          <w:ilvl w:val="0"/>
          <w:numId w:val="2"/>
        </w:numPr>
        <w:spacing w:after="0" w:afterAutospacing="0" w:before="0" w:beforeAutospacing="0" w:lineRule="auto"/>
        <w:ind w:left="720" w:hanging="360"/>
        <w:rPr>
          <w:sz w:val="14"/>
          <w:szCs w:val="14"/>
        </w:rPr>
      </w:pPr>
      <w:r w:rsidDel="00000000" w:rsidR="00000000" w:rsidRPr="00000000">
        <w:rPr>
          <w:sz w:val="14"/>
          <w:szCs w:val="14"/>
          <w:rtl w:val="0"/>
        </w:rPr>
        <w:t xml:space="preserve">Q: How many affected customers should we cite before the offline evidence locker review is complete? </w:t>
      </w:r>
    </w:p>
    <w:p w:rsidR="00000000" w:rsidDel="00000000" w:rsidP="00000000" w:rsidRDefault="00000000" w:rsidRPr="00000000" w14:paraId="00000007">
      <w:pPr>
        <w:numPr>
          <w:ilvl w:val="1"/>
          <w:numId w:val="2"/>
        </w:numPr>
        <w:spacing w:after="0" w:afterAutospacing="0" w:before="0" w:beforeAutospacing="0" w:lineRule="auto"/>
        <w:ind w:left="1440" w:hanging="360"/>
        <w:rPr>
          <w:sz w:val="14"/>
          <w:szCs w:val="14"/>
        </w:rPr>
      </w:pPr>
      <w:r w:rsidDel="00000000" w:rsidR="00000000" w:rsidRPr="00000000">
        <w:rPr>
          <w:sz w:val="14"/>
          <w:szCs w:val="14"/>
          <w:rtl w:val="0"/>
        </w:rPr>
        <w:t xml:space="preserve">A: 84,210 — the confirmed customer_pii document count; we will not inflate to the transaction record count of 1,203,940 because those are events, not unique individuals. (Stage 2 Task 1)</w:t>
      </w:r>
    </w:p>
    <w:p w:rsidR="00000000" w:rsidDel="00000000" w:rsidP="00000000" w:rsidRDefault="00000000" w:rsidRPr="00000000" w14:paraId="00000008">
      <w:pPr>
        <w:numPr>
          <w:ilvl w:val="0"/>
          <w:numId w:val="2"/>
        </w:numPr>
        <w:spacing w:after="0" w:afterAutospacing="0" w:before="0" w:beforeAutospacing="0" w:lineRule="auto"/>
        <w:ind w:left="720" w:hanging="360"/>
        <w:rPr>
          <w:sz w:val="14"/>
          <w:szCs w:val="14"/>
        </w:rPr>
      </w:pPr>
      <w:r w:rsidDel="00000000" w:rsidR="00000000" w:rsidRPr="00000000">
        <w:rPr>
          <w:sz w:val="14"/>
          <w:szCs w:val="14"/>
          <w:rtl w:val="0"/>
        </w:rPr>
        <w:t xml:space="preserve">Q: If we had isolated host-87 at 02:15 instead of 04:08 on 8 June, what would we have saved? </w:t>
      </w:r>
    </w:p>
    <w:p w:rsidR="00000000" w:rsidDel="00000000" w:rsidP="00000000" w:rsidRDefault="00000000" w:rsidRPr="00000000" w14:paraId="00000009">
      <w:pPr>
        <w:numPr>
          <w:ilvl w:val="1"/>
          <w:numId w:val="2"/>
        </w:numPr>
        <w:spacing w:after="240" w:before="0" w:beforeAutospacing="0" w:lineRule="auto"/>
        <w:ind w:left="1440" w:hanging="360"/>
        <w:rPr>
          <w:sz w:val="14"/>
          <w:szCs w:val="14"/>
        </w:rPr>
      </w:pPr>
      <w:r w:rsidDel="00000000" w:rsidR="00000000" w:rsidRPr="00000000">
        <w:rPr>
          <w:sz w:val="14"/>
          <w:szCs w:val="14"/>
          <w:rtl w:val="0"/>
        </w:rPr>
        <w:t xml:space="preserve">A: The exfiltration at 03:01:18 — the data transfer completed 46 minutes after the first beacon alert fired and would not have reached the attacker's server. (Stage 3 Task 2, 04-siem-export.csv row 5)</w:t>
      </w:r>
    </w:p>
    <w:p w:rsidR="00000000" w:rsidDel="00000000" w:rsidP="00000000" w:rsidRDefault="00000000" w:rsidRPr="00000000" w14:paraId="0000000A">
      <w:pPr>
        <w:spacing w:after="240" w:before="240" w:lineRule="auto"/>
        <w:ind w:left="0" w:firstLine="0"/>
        <w:rPr>
          <w:b w:val="1"/>
          <w:bCs w:val="1"/>
          <w:sz w:val="20"/>
          <w:szCs w:val="20"/>
        </w:rPr>
      </w:pPr>
      <w:r w:rsidDel="00000000" w:rsidR="00000000" w:rsidRPr="00000000">
        <w:rPr>
          <w:b w:val="1"/>
          <w:bCs w:val="1"/>
          <w:sz w:val="20"/>
          <w:szCs w:val="20"/>
          <w:rtl w:val="0"/>
        </w:rPr>
        <w:t xml:space="preserve">Tradeoff decision: </w:t>
      </w:r>
      <w:r w:rsidDel="00000000" w:rsidR="00000000" w:rsidRPr="00000000">
        <w:rPr>
          <w:sz w:val="12"/>
          <w:szCs w:val="12"/>
          <w:rtl w:val="0"/>
        </w:rPr>
        <w:t xml:space="preserve">We will not be able to accomplish the migration of the SSH certificate within the timeframe of day 1 to day 30 alongside the deployment of the Wazuh FIM and the sudoers CI gate since this will be done within day 31 to day 60. The reason why we are placing the Wazuh FIM and the sudoers CI gate ahead of the other task is that these two address the confirmed attack paths which are T1546.004 (.bashrc Persistence – undetected in four days) and T1548.003 (NOPASSWD sudoers entry – without any change control gate). The migration of the SSH certificate will decrease the risk of re-entry although the key is already revoked.</w:t>
        <w:br w:type="textWrapping"/>
      </w:r>
      <w:r w:rsidDel="00000000" w:rsidR="00000000" w:rsidRPr="00000000">
        <w:rPr>
          <w:b w:val="1"/>
          <w:bCs w:val="1"/>
          <w:sz w:val="20"/>
          <w:szCs w:val="20"/>
          <w:rtl w:val="0"/>
        </w:rPr>
        <w:t xml:space="preserve">Press-risk line: </w:t>
      </w:r>
      <w:r w:rsidDel="00000000" w:rsidR="00000000" w:rsidRPr="00000000">
        <w:rPr>
          <w:sz w:val="14"/>
          <w:szCs w:val="14"/>
          <w:rtl w:val="0"/>
        </w:rPr>
        <w:t xml:space="preserve">The investigation has found evidence of forensic markers that the board is now holding legally; no one has been mentioned as the threat actor, and Sankofa Digital refuses to comment on any claims made until after the legal process is over.</w:t>
      </w:r>
      <w:r w:rsidDel="00000000" w:rsidR="00000000" w:rsidRPr="00000000">
        <w:rPr>
          <w:rtl w:val="0"/>
        </w:rPr>
      </w:r>
    </w:p>
    <w:p w:rsidR="00000000" w:rsidDel="00000000" w:rsidP="00000000" w:rsidRDefault="00000000" w:rsidRPr="00000000" w14:paraId="0000000B">
      <w:pPr>
        <w:spacing w:after="0" w:before="0" w:lineRule="auto"/>
        <w:rPr>
          <w:b w:val="1"/>
          <w:bCs w:val="1"/>
        </w:rPr>
      </w:pPr>
      <w:r w:rsidDel="00000000" w:rsidR="00000000" w:rsidRPr="00000000">
        <w:rPr>
          <w:b w:val="1"/>
          <w:bCs w:val="1"/>
          <w:rtl w:val="0"/>
        </w:rPr>
        <w:t xml:space="preserve">Evidence appendix:</w:t>
      </w:r>
    </w:p>
    <w:p w:rsidR="00000000" w:rsidDel="00000000" w:rsidP="00000000" w:rsidRDefault="00000000" w:rsidRPr="00000000" w14:paraId="0000000C">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Stage 2 Task 1 — scan-vuln.txt, customer_pii 84,210 docs; Elasticsearch security disabled; supports number 1</w:t>
      </w:r>
    </w:p>
    <w:p w:rsidR="00000000" w:rsidDel="00000000" w:rsidP="00000000" w:rsidRDefault="00000000" w:rsidRPr="00000000" w14:paraId="0000000D">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Stage 3 Task 2 — 03-syslog.txt 02:07:55 and 02:13:08 entries; supports number 2 (6-minute escalation)</w:t>
      </w:r>
    </w:p>
    <w:p w:rsidR="00000000" w:rsidDel="00000000" w:rsidP="00000000" w:rsidRDefault="00000000" w:rsidRPr="00000000" w14:paraId="0000000E">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Stage 3 Task 4 — ATT&amp;CK mapping T1546.004, T1548.003, T1078; supports the ask and tradeoff rationale</w:t>
      </w:r>
    </w:p>
    <w:p w:rsidR="00000000" w:rsidDel="00000000" w:rsidP="00000000" w:rsidRDefault="00000000" w:rsidRPr="00000000" w14:paraId="0000000F">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Stage 4 Task 1 — risk register R-001 through R-005; supports chart description</w:t>
      </w:r>
    </w:p>
    <w:p w:rsidR="00000000" w:rsidDel="00000000" w:rsidP="00000000" w:rsidRDefault="00000000" w:rsidRPr="00000000" w14:paraId="00000010">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NDPA 2023 §40 — 72-hour notification obligation; supports speaking note 3</w:t>
      </w:r>
    </w:p>
    <w:p w:rsidR="00000000" w:rsidDel="00000000" w:rsidP="00000000" w:rsidRDefault="00000000" w:rsidRPr="00000000" w14:paraId="00000011">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NDPA 2023 §44 — fine ceiling ₦10M or 2% annual turnover; supports number 3</w:t>
      </w:r>
    </w:p>
    <w:p w:rsidR="00000000" w:rsidDel="00000000" w:rsidP="00000000" w:rsidRDefault="00000000" w:rsidRPr="00000000" w14:paraId="00000012">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NIST CSF 2.0 GV.RM-01 — risk management strategy; supports the board ask framing</w:t>
      </w:r>
    </w:p>
    <w:p w:rsidR="00000000" w:rsidDel="00000000" w:rsidP="00000000" w:rsidRDefault="00000000" w:rsidRPr="00000000" w14:paraId="00000013">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MITRE ATT&amp;CK T1548.003 — Abuse Elevation Control Mechanism: Sudo and Sudo Caching; supports the ask</w:t>
      </w:r>
    </w:p>
    <w:p w:rsidR="00000000" w:rsidDel="00000000" w:rsidP="00000000" w:rsidRDefault="00000000" w:rsidRPr="00000000" w14:paraId="00000014">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07-board-minute-excerpt.md — open questions Q1, Q2, Q3 answered directly in anticipated questions section</w:t>
      </w:r>
      <w:r w:rsidDel="00000000" w:rsidR="00000000" w:rsidRPr="00000000">
        <w:rPr>
          <w:rtl w:val="0"/>
        </w:rPr>
      </w:r>
    </w:p>
    <w:p w:rsidR="00000000" w:rsidDel="00000000" w:rsidP="00000000" w:rsidRDefault="00000000" w:rsidRPr="00000000" w14:paraId="00000015">
      <w:pPr>
        <w:spacing w:after="240" w:before="240" w:lineRule="auto"/>
        <w:rPr>
          <w:sz w:val="16"/>
          <w:szCs w:val="16"/>
        </w:rPr>
      </w:pPr>
      <w:r w:rsidDel="00000000" w:rsidR="00000000" w:rsidRPr="00000000">
        <w:rPr>
          <w:b w:val="1"/>
          <w:bCs w:val="1"/>
          <w:rtl w:val="0"/>
        </w:rPr>
        <w:t xml:space="preserve">ONE MISTAKE I ALMOST MADE</w:t>
        <w:br w:type="textWrapping"/>
      </w:r>
      <w:r w:rsidDel="00000000" w:rsidR="00000000" w:rsidRPr="00000000">
        <w:rPr>
          <w:sz w:val="16"/>
          <w:szCs w:val="16"/>
          <w:rtl w:val="0"/>
        </w:rPr>
        <w:t xml:space="preserve">My initial draft employed 4 days as the third number – the dwell time between the initial breach (4 June) and the containment (8 June). It is accurate and makes for great copy, but it is a “how bad” number which will make the board want to revisit the problem rather than approve the solution. I switched it out for ₦10M – the NDPA §44 fine floor – because it is future-oriented; it lets the board know what the cost of non-action is from a regulatory perspective, not what the cost of action in the past was. A “how fast can we fix it” or “what does it cost us to not” number gets the board to act; a “how bad did it get” number gets the board to blame.</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BOARD MEMO - Sankofa Digital breach of 2024-01-14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