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MAPPING TABLE</w:t>
      </w:r>
    </w:p>
    <w:tbl>
      <w:tblPr>
        <w:tblStyle w:val="Table1"/>
        <w:tblW w:w="1146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135"/>
        <w:gridCol w:w="2115"/>
        <w:gridCol w:w="1560"/>
        <w:gridCol w:w="1560"/>
        <w:gridCol w:w="2385"/>
        <w:tblGridChange w:id="0">
          <w:tblGrid>
            <w:gridCol w:w="705"/>
            <w:gridCol w:w="3135"/>
            <w:gridCol w:w="2115"/>
            <w:gridCol w:w="1560"/>
            <w:gridCol w:w="1560"/>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Observed Weakness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Stage/task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NIST CSF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ISO 27001:2022 Annex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MITRE D3FEND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Unauthenticated Elasticsearch index exposing customer PII — xpack.security.enabled: false, no credentials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Stage 2 Task 1, scan-vuln.txt: security: DISABLED — no authentication required; customer_pii 84,210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PR.AA-01 — Identities and credentials for authorized users, services, and hardware are managed by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A.8.3 Information access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D3-UAP — User Account Permissions — enforce authentication before any index access is granted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Plaintext credentials and base64-encoded API key committed to config files in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Stage 1 Task 1, committed config file; Stage 1 Task 8, base64 API key recovered from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PR.AA-02 — Identities are proofed and bound to credentials based on the context of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A.8.13 Information backup — correction: correct control is A.5.14 Information transfer — actual correct control: A.8.12 Data leakage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D3-SCH — Credential Hardening — enforce secrets scanning in CI to reject committed credentials at PR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SQL injection in login form — concatenated query strings accepted, evidence in MySQL general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Stage 2 Task 3, MySQL general log showing unsanitised input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PR.PS-04 — Software platforms and systems are configured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A.8.28 Secure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D3-DQSA — Database Query String Analysis — inspect and reject concatenated SQL at the application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Reflected and stored XSS in admin dashboard — unsanitised user input rendered in browser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Stage 2 Tasks 4 &amp; 5, XSS payloads confirmed in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PR.PS-04 — Software platforms and systems are configured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A.8.26 Application security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D3-FCA — File Content Analysis — scan rendered output and stored input for script injection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SSRF to cloud metadata service — IMDSv1 in use, no hop-limit enforcement, instance role credentials reachable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Stage 2 Task 6, SSRF reaching 169.254.169.254 via IMDSv1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PR.IR-01 — Networks and environments are protected from unauthorized logical access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A.8.20 Networks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D3-NTA — Network Traffic Analysis — detect and block outbound requests to link-local metadata IP ranges</w:t>
            </w:r>
          </w:p>
        </w:tc>
      </w:tr>
    </w:tbl>
    <w:p w:rsidR="00000000" w:rsidDel="00000000" w:rsidP="00000000" w:rsidRDefault="00000000" w:rsidRPr="00000000" w14:paraId="00000027">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8">
      <w:pPr>
        <w:rPr>
          <w:b w:val="1"/>
          <w:bCs w:val="1"/>
          <w:sz w:val="30"/>
          <w:szCs w:val="30"/>
        </w:rPr>
      </w:pPr>
      <w:r w:rsidDel="00000000" w:rsidR="00000000" w:rsidRPr="00000000">
        <w:rPr>
          <w:rtl w:val="0"/>
        </w:rPr>
      </w:r>
    </w:p>
    <w:tbl>
      <w:tblPr>
        <w:tblStyle w:val="Table2"/>
        <w:tblW w:w="1155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135"/>
        <w:gridCol w:w="2115"/>
        <w:gridCol w:w="1905"/>
        <w:gridCol w:w="1320"/>
        <w:gridCol w:w="2370"/>
        <w:tblGridChange w:id="0">
          <w:tblGrid>
            <w:gridCol w:w="705"/>
            <w:gridCol w:w="3135"/>
            <w:gridCol w:w="2115"/>
            <w:gridCol w:w="1905"/>
            <w:gridCol w:w="1320"/>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Time-unlimited NOPASSWD sudoers grant for interactive binary less /var/log/* — no change-control ticket, no author, no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Stage 3 Task 3, 02-filesystem-index.txt: o.adegoke ALL=(ALL) NOPASSWD: /usr/bin/less /var/log/*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PR.AA-05 — Access permissions, entitlements, and authorizations are defined in a policy, managed, enforced, and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A.8.2 Privileged access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D3-UAP — User Account Permissions — enforce least-privilege review gate on all sudoers grants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Shell-config persistence in ~/.bashrc sourcing malicious binary — not caught by crontab or systemd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Stage 3 Task 2, 02-filesystem-index.txt: .bashrc mtime Jun 4 02:13; edr-process.log bash → .helper → curl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DE.CM-01 — Networks and network services are monitored to find potentially adverse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A.8.16 Monitoring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D3-FIM — File Integrity Monitoring — realtime hash and content monitoring on shell initialisation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Periodic HTTPS beacon to non-allow-listed external domain gri0t-c2.dynamic-update.net traversing corporate proxy unblocked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Stage 3 Task 4, proxy.log TCP_TUNNEL/200 CONNECT entries; dns.log cache MISS at 02:16:11Z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DE.CM-02 — The physical environment is monitored to find potentially adverse events — correction: most descriptive is DE.CM-01 — actual best fit: DE.AE-02 — Potentially adverse events are analyzed to better characterize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A.8.22 Segregation of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D3-DNSF — DNS Filtering — block resolution of dynamic-DNS C2 domains at the resolver before CONNECT is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No mandatory acknowledgement SLA on critical SIEM alerts — beacon and exfil alerts fired correctly but went unactioned for four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Stage 3 Task 2, 04-siem-export.csv rows 5 and 7: critical alerts at 02:15 and 03:01; host isolated Jun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RS.MA-01 — Incident response plan is executed in coordination with relevant third parties as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A.5.26 Response to information security incidents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D3-PA — Process Analysis — correlate process telemetry with alert triage to enforce escalation within defined SLA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Static long-lived SSH keys with no rotation schedule — same stolen key authenticated three attacker sessions across four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Stage 3 Task 2, 03-syslog.txt: SSH login Jun 4 02:07:55, Jun 5 03:14:25, Jun 6 09:00:47 — same key, no revocation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PR.AA-01 — Identities and credentials for authorized users, services, and hardware are managed by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A.5.17 Authentication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D3-SCH — Credential Hardening — enforce short-lived SSH certificate TTL replacing static authorised_keys</w:t>
            </w:r>
          </w:p>
        </w:tc>
      </w:tr>
    </w:tbl>
    <w:p w:rsidR="00000000" w:rsidDel="00000000" w:rsidP="00000000" w:rsidRDefault="00000000" w:rsidRPr="00000000" w14:paraId="00000047">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32"/>
          <w:szCs w:val="32"/>
          <w:rtl w:val="0"/>
        </w:rPr>
        <w:t xml:space="preserve">COVERAGE CHECK</w:t>
        <w:br w:type="textWrapping"/>
      </w:r>
      <w:r w:rsidDel="00000000" w:rsidR="00000000" w:rsidRPr="00000000">
        <w:rPr>
          <w:b w:val="1"/>
          <w:bCs w:val="1"/>
          <w:i w:val="1"/>
          <w:iCs w:val="1"/>
          <w:sz w:val="28"/>
          <w:szCs w:val="28"/>
          <w:rtl w:val="0"/>
        </w:rPr>
        <w:t xml:space="preserve">CSF Functions Covered by this table:</w:t>
      </w:r>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b w:val="1"/>
          <w:bCs w:val="1"/>
          <w:sz w:val="24"/>
          <w:szCs w:val="24"/>
          <w:rtl w:val="0"/>
        </w:rPr>
        <w:t xml:space="preserve">GV (Govern) — not directly covered</w:t>
      </w:r>
      <w:r w:rsidDel="00000000" w:rsidR="00000000" w:rsidRPr="00000000">
        <w:rPr>
          <w:sz w:val="24"/>
          <w:szCs w:val="24"/>
          <w:rtl w:val="0"/>
        </w:rPr>
        <w:t xml:space="preserve">. No observed weakness is mapped here because the governance failures (no change-control gate, no sudoers review process) are addressed as process controls in the 30/60/90 roadmap rather than as weaknesses with a direct technical counter-technique. The absence is intentional: governance gaps produce the conditions for weaknesses but are not themselves technical findings with D3FEND counter-techniques.</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b w:val="1"/>
          <w:bCs w:val="1"/>
          <w:sz w:val="24"/>
          <w:szCs w:val="24"/>
          <w:rtl w:val="0"/>
        </w:rPr>
        <w:t xml:space="preserve">ID (Identify) — not covered</w:t>
      </w:r>
      <w:r w:rsidDel="00000000" w:rsidR="00000000" w:rsidRPr="00000000">
        <w:rPr>
          <w:sz w:val="24"/>
          <w:szCs w:val="24"/>
          <w:rtl w:val="0"/>
        </w:rPr>
        <w:t xml:space="preserve">. The investigation did not surface a weakness in asset inventory or risk assessment methodology as a discrete finding — the weaknesses are in the controls that should have followed identification. This is a gap worth noting: Sankofa's asset inventory did not flag legacy.sankofa.internal as decommissioned-but-still-reachable before the breach.</w:t>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sz w:val="24"/>
          <w:szCs w:val="24"/>
          <w:rtl w:val="0"/>
        </w:rPr>
        <w:t xml:space="preserve">PR (Protect) — covered by rows 1, 2, 3, 4, 5, 6, 10.</w:t>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sz w:val="24"/>
          <w:szCs w:val="24"/>
          <w:rtl w:val="0"/>
        </w:rPr>
        <w:t xml:space="preserve">DE (Detect) — covered by rows 7, 8, 9.</w:t>
      </w:r>
    </w:p>
    <w:p w:rsidR="00000000" w:rsidDel="00000000" w:rsidP="00000000" w:rsidRDefault="00000000" w:rsidRPr="00000000" w14:paraId="0000004D">
      <w:pPr>
        <w:numPr>
          <w:ilvl w:val="0"/>
          <w:numId w:val="1"/>
        </w:numPr>
        <w:ind w:left="720" w:hanging="360"/>
        <w:rPr>
          <w:sz w:val="24"/>
          <w:szCs w:val="24"/>
        </w:rPr>
      </w:pPr>
      <w:r w:rsidDel="00000000" w:rsidR="00000000" w:rsidRPr="00000000">
        <w:rPr>
          <w:sz w:val="24"/>
          <w:szCs w:val="24"/>
          <w:rtl w:val="0"/>
        </w:rPr>
        <w:t xml:space="preserve">RS (Respond) — covered by row 9.</w:t>
      </w:r>
    </w:p>
    <w:p w:rsidR="00000000" w:rsidDel="00000000" w:rsidP="00000000" w:rsidRDefault="00000000" w:rsidRPr="00000000" w14:paraId="0000004E">
      <w:pPr>
        <w:numPr>
          <w:ilvl w:val="0"/>
          <w:numId w:val="1"/>
        </w:numPr>
        <w:ind w:left="720" w:hanging="360"/>
        <w:rPr>
          <w:sz w:val="24"/>
          <w:szCs w:val="24"/>
        </w:rPr>
      </w:pPr>
      <w:r w:rsidDel="00000000" w:rsidR="00000000" w:rsidRPr="00000000">
        <w:rPr>
          <w:b w:val="1"/>
          <w:bCs w:val="1"/>
          <w:sz w:val="24"/>
          <w:szCs w:val="24"/>
          <w:rtl w:val="0"/>
        </w:rPr>
        <w:t xml:space="preserve">RC (Recover) — not covered</w:t>
      </w:r>
      <w:r w:rsidDel="00000000" w:rsidR="00000000" w:rsidRPr="00000000">
        <w:rPr>
          <w:sz w:val="24"/>
          <w:szCs w:val="24"/>
          <w:rtl w:val="0"/>
        </w:rPr>
        <w:t xml:space="preserve">. Stage 3 Task 7 documents the recovery actions (reimaging, backup restore, 72-hour monitoring window); this table maps weaknesses to preventive and detective controls, not recovery procedures. Recovery is addressed in the IR report rather than here.</w:t>
      </w:r>
    </w:p>
    <w:p w:rsidR="00000000" w:rsidDel="00000000" w:rsidP="00000000" w:rsidRDefault="00000000" w:rsidRPr="00000000" w14:paraId="0000004F">
      <w:pPr>
        <w:ind w:left="0" w:firstLine="0"/>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Most represented ISO 27001:2022 theme:</w:t>
      </w:r>
      <w:r w:rsidDel="00000000" w:rsidR="00000000" w:rsidRPr="00000000">
        <w:rPr>
          <w:sz w:val="24"/>
          <w:szCs w:val="24"/>
          <w:rtl w:val="0"/>
        </w:rPr>
        <w:t xml:space="preserve"> The </w:t>
      </w:r>
      <w:r w:rsidDel="00000000" w:rsidR="00000000" w:rsidRPr="00000000">
        <w:rPr>
          <w:b w:val="1"/>
          <w:bCs w:val="1"/>
          <w:i w:val="1"/>
          <w:iCs w:val="1"/>
          <w:sz w:val="24"/>
          <w:szCs w:val="24"/>
          <w:rtl w:val="0"/>
        </w:rPr>
        <w:t xml:space="preserve">A.8 Technological controls</w:t>
      </w:r>
      <w:r w:rsidDel="00000000" w:rsidR="00000000" w:rsidRPr="00000000">
        <w:rPr>
          <w:sz w:val="24"/>
          <w:szCs w:val="24"/>
          <w:rtl w:val="0"/>
        </w:rPr>
        <w:t xml:space="preserve"> theme appears in seven of ten rows (rows 1, 2, 3, 4, 5, 7, 8). This tells us that Sankofa's gap profile is predominantly technical — misconfigured services, weak authentication, absent monitoring — rather than organisational (A.5) or people-related (A.6). The concentration in A.8 means the 30/60/90 roadmap is correctly focused on technical hardening; however, the two A.5 rows (rows 9 and 10) signal that organisational process failures — no alert SLA, no credential rotation policy — are the conditions that allowed technical weaknesses to be exploited and to persist undetected.</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3">
      <w:pPr>
        <w:rPr>
          <w:b w:val="1"/>
          <w:bCs w:val="1"/>
          <w:sz w:val="32"/>
          <w:szCs w:val="32"/>
        </w:rPr>
      </w:pPr>
      <w:r w:rsidDel="00000000" w:rsidR="00000000" w:rsidRPr="00000000">
        <w:rPr>
          <w:b w:val="1"/>
          <w:bCs w:val="1"/>
          <w:sz w:val="32"/>
          <w:szCs w:val="32"/>
          <w:rtl w:val="0"/>
        </w:rPr>
        <w:t xml:space="preserve">ONE MISTAKE I ALMOST MADE</w:t>
      </w:r>
    </w:p>
    <w:p w:rsidR="00000000" w:rsidDel="00000000" w:rsidP="00000000" w:rsidRDefault="00000000" w:rsidRPr="00000000" w14:paraId="00000054">
      <w:pPr>
        <w:rPr>
          <w:sz w:val="24"/>
          <w:szCs w:val="24"/>
        </w:rPr>
      </w:pPr>
      <w:r w:rsidDel="00000000" w:rsidR="00000000" w:rsidRPr="00000000">
        <w:rPr>
          <w:b w:val="1"/>
          <w:bCs w:val="1"/>
          <w:sz w:val="32"/>
          <w:szCs w:val="32"/>
          <w:rtl w:val="0"/>
        </w:rPr>
        <w:tab/>
      </w:r>
      <w:r w:rsidDel="00000000" w:rsidR="00000000" w:rsidRPr="00000000">
        <w:rPr>
          <w:sz w:val="24"/>
          <w:szCs w:val="24"/>
          <w:rtl w:val="0"/>
        </w:rPr>
        <w:t xml:space="preserve">The seductive wrong answer was mapping every row to PR.AA-01 (Identities and credentials management) or its near-neighbour PR.AA-05 (Access permissions and authorizations), on the grounds that every weakness in this table touches access in some way — unauthenticated Elasticsearch is an access control failure; SQL injection is an access bypass; SSRF is an access boundary failure; the sudoers entry is an access misconfiguration. That reasoning is technically defensible for each row but produces a table that tells the auditor nothing useful. If every weakness maps to the same category, the mapping conveys no information about the character of each gap or the type of control needed to close it.</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ind w:firstLine="720"/>
        <w:rPr>
          <w:sz w:val="24"/>
          <w:szCs w:val="24"/>
        </w:rPr>
      </w:pPr>
      <w:r w:rsidDel="00000000" w:rsidR="00000000" w:rsidRPr="00000000">
        <w:rPr>
          <w:sz w:val="24"/>
          <w:szCs w:val="24"/>
          <w:rtl w:val="0"/>
        </w:rPr>
        <w:t xml:space="preserve">The discipline I applied was to ask, for each row: what is the primary defensive objective here — is it about managing who can authenticate (PR.AA), about how software is built (PR.PS), about how networks are segmented (PR.IR), or about how events are detected (DE.CM)? SQL injection (row 3) is not fundamentally a credential problem — it is a software construction problem, which is why PR.PS-04 (secure configuration of software platforms) is more descriptive than PR.AA-01. SSRF (row 5) is not fundamentally a credential problem either — it is a network boundary problem, which is why PR.IR-01 (network environment protection) is more descriptive. Forcing each row to its most specific category produces a table that maps to different control families and therefore different remediation owners — which is exactly what Legal and the auditor need to see.</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30"/>
        <w:szCs w:val="30"/>
      </w:rPr>
    </w:pPr>
    <w:r w:rsidDel="00000000" w:rsidR="00000000" w:rsidRPr="00000000">
      <w:rPr>
        <w:sz w:val="30"/>
        <w:szCs w:val="30"/>
        <w:rtl w:val="0"/>
      </w:rPr>
      <w:t xml:space="preserve">Control Mapping – NIST CSF 2.0 / ISO 27001:2022 / MITRE D3FEND</w:t>
    </w:r>
  </w:p>
  <w:p w:rsidR="00000000" w:rsidDel="00000000" w:rsidP="00000000" w:rsidRDefault="00000000" w:rsidRPr="00000000" w14:paraId="00000059">
    <w:pPr>
      <w:jc w:val="center"/>
      <w:rPr>
        <w:sz w:val="26"/>
        <w:szCs w:val="26"/>
      </w:rPr>
    </w:pPr>
    <w:r w:rsidDel="00000000" w:rsidR="00000000" w:rsidRPr="00000000">
      <w:rPr>
        <w:sz w:val="26"/>
        <w:szCs w:val="26"/>
        <w:rtl w:val="0"/>
      </w:rPr>
      <w:t xml:space="preserve">Sankofa Digital | Post-Incident Framework Mapping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