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before="61" w:lineRule="auto"/>
        <w:ind w:left="742" w:firstLine="0"/>
        <w:jc w:val="center"/>
        <w:rPr>
          <w:i w:val="1"/>
          <w:iCs w:val="1"/>
          <w:sz w:val="24"/>
          <w:szCs w:val="24"/>
        </w:rPr>
      </w:pPr>
      <w:r w:rsidDel="00000000" w:rsidR="00000000" w:rsidRPr="00000000">
        <w:rPr>
          <w:i w:val="1"/>
          <w:iCs w:val="1"/>
          <w:sz w:val="24"/>
          <w:szCs w:val="24"/>
          <w:rtl w:val="0"/>
        </w:rPr>
        <w:t xml:space="preserve">A project report on</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1"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spacing w:line="319" w:lineRule="auto"/>
        <w:ind w:left="742" w:right="32" w:firstLine="0"/>
        <w:jc w:val="center"/>
        <w:rPr>
          <w:b w:val="1"/>
          <w:bCs w:val="1"/>
          <w:sz w:val="40"/>
          <w:szCs w:val="40"/>
        </w:rPr>
      </w:pPr>
      <w:r w:rsidDel="00000000" w:rsidR="00000000" w:rsidRPr="00000000">
        <w:rPr>
          <w:b w:val="1"/>
          <w:bCs w:val="1"/>
          <w:sz w:val="40"/>
          <w:szCs w:val="40"/>
          <w:rtl w:val="0"/>
        </w:rPr>
        <w:t xml:space="preserve">SEMANTIC WORKLOAD AWARENESS IN SERVERLESS COMPUTING</w:t>
      </w:r>
    </w:p>
    <w:p w:rsidR="00000000" w:rsidDel="00000000" w:rsidP="00000000" w:rsidRDefault="00000000" w:rsidRPr="00000000" w14:paraId="00000004">
      <w:pPr>
        <w:spacing w:line="319" w:lineRule="auto"/>
        <w:ind w:left="742" w:right="32" w:firstLine="0"/>
        <w:jc w:val="center"/>
        <w:rPr>
          <w:b w:val="1"/>
          <w:bCs w:val="1"/>
          <w:sz w:val="40"/>
          <w:szCs w:val="40"/>
        </w:rPr>
      </w:pPr>
      <w:r w:rsidDel="00000000" w:rsidR="00000000" w:rsidRPr="00000000">
        <w:rPr>
          <w:rtl w:val="0"/>
        </w:rPr>
      </w:r>
    </w:p>
    <w:p w:rsidR="00000000" w:rsidDel="00000000" w:rsidP="00000000" w:rsidRDefault="00000000" w:rsidRPr="00000000" w14:paraId="00000005">
      <w:pPr>
        <w:spacing w:line="313" w:lineRule="auto"/>
        <w:ind w:left="742" w:firstLine="0"/>
        <w:jc w:val="center"/>
        <w:rPr>
          <w:i w:val="1"/>
          <w:iCs w:val="1"/>
          <w:sz w:val="28"/>
          <w:szCs w:val="28"/>
        </w:rPr>
      </w:pPr>
      <w:r w:rsidDel="00000000" w:rsidR="00000000" w:rsidRPr="00000000">
        <w:rPr>
          <w:i w:val="1"/>
          <w:iCs w:val="1"/>
          <w:sz w:val="28"/>
          <w:szCs w:val="28"/>
          <w:rtl w:val="0"/>
        </w:rPr>
        <w:t xml:space="preserve">Cloud Infrastructure and Architecture</w:t>
      </w:r>
    </w:p>
    <w:p w:rsidR="00000000" w:rsidDel="00000000" w:rsidP="00000000" w:rsidRDefault="00000000" w:rsidRPr="00000000" w14:paraId="00000006">
      <w:pPr>
        <w:spacing w:line="313" w:lineRule="auto"/>
        <w:ind w:left="742" w:firstLine="0"/>
        <w:jc w:val="center"/>
        <w:rPr>
          <w:i w:val="1"/>
          <w:iCs w:val="1"/>
          <w:sz w:val="28"/>
          <w:szCs w:val="28"/>
        </w:rPr>
      </w:pPr>
      <w:r w:rsidDel="00000000" w:rsidR="00000000" w:rsidRPr="00000000">
        <w:rPr>
          <w:i w:val="1"/>
          <w:iCs w:val="1"/>
          <w:sz w:val="28"/>
          <w:szCs w:val="28"/>
          <w:rtl w:val="0"/>
        </w:rPr>
        <w:t xml:space="preserve">by</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Times New Roman" w:cs="Times New Roman" w:eastAsia="Times New Roman" w:hAnsi="Times New Roman"/>
          <w:b w:val="0"/>
          <w:bCs w:val="0"/>
          <w:i w:val="1"/>
          <w:iCs w:val="1"/>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8">
      <w:pPr>
        <w:pStyle w:val="Heading1"/>
        <w:spacing w:line="360" w:lineRule="auto"/>
        <w:ind w:left="2473" w:right="1744" w:hanging="8.000000000000114"/>
        <w:rPr/>
      </w:pPr>
      <w:r w:rsidDel="00000000" w:rsidR="00000000" w:rsidRPr="00000000">
        <w:rPr>
          <w:rtl w:val="0"/>
        </w:rPr>
        <w:t xml:space="preserve">HEMANTH S (25BCE1874) SENTHIL RAM PADMA RAJA (25BCE1838)</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0" w:line="240" w:lineRule="auto"/>
        <w:ind w:left="0" w:right="0" w:firstLine="0"/>
        <w:jc w:val="left"/>
        <w:rPr>
          <w:rFonts w:ascii="Times New Roman" w:cs="Times New Roman" w:eastAsia="Times New Roman" w:hAnsi="Times New Roman"/>
          <w:b w:val="1"/>
          <w:bCs w:val="1"/>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800731</wp:posOffset>
            </wp:positionH>
            <wp:positionV relativeFrom="paragraph">
              <wp:posOffset>206105</wp:posOffset>
            </wp:positionV>
            <wp:extent cx="3720005" cy="1131569"/>
            <wp:effectExtent b="0" l="0" r="0" t="0"/>
            <wp:wrapTopAndBottom distB="0" distT="0"/>
            <wp:docPr descr="C:\Users\Admin\Downloads\vit_logo_colored.png" id="5" name="image5.png"/>
            <a:graphic>
              <a:graphicData uri="http://schemas.openxmlformats.org/drawingml/2006/picture">
                <pic:pic>
                  <pic:nvPicPr>
                    <pic:cNvPr descr="C:\Users\Admin\Downloads\vit_logo_colored.png" id="0" name="image5.png"/>
                    <pic:cNvPicPr preferRelativeResize="0"/>
                  </pic:nvPicPr>
                  <pic:blipFill>
                    <a:blip r:embed="rId6"/>
                    <a:srcRect b="0" l="0" r="0" t="0"/>
                    <a:stretch>
                      <a:fillRect/>
                    </a:stretch>
                  </pic:blipFill>
                  <pic:spPr>
                    <a:xfrm>
                      <a:off x="0" y="0"/>
                      <a:ext cx="3720005" cy="1131569"/>
                    </a:xfrm>
                    <a:prstGeom prst="rect"/>
                    <a:ln/>
                  </pic:spPr>
                </pic:pic>
              </a:graphicData>
            </a:graphic>
          </wp:anchor>
        </w:drawing>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8" w:line="240" w:lineRule="auto"/>
        <w:ind w:left="0" w:right="0" w:firstLine="0"/>
        <w:jc w:val="left"/>
        <w:rPr>
          <w:rFonts w:ascii="Times New Roman" w:cs="Times New Roman" w:eastAsia="Times New Roman" w:hAnsi="Times New Roman"/>
          <w:b w:val="1"/>
          <w:bCs w:val="1"/>
          <w:i w:val="0"/>
          <w:iCs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0D">
      <w:pPr>
        <w:ind w:left="742" w:right="2" w:firstLine="0"/>
        <w:jc w:val="center"/>
        <w:rPr>
          <w:b w:val="1"/>
          <w:bCs w:val="1"/>
          <w:sz w:val="32"/>
          <w:szCs w:val="32"/>
        </w:rPr>
      </w:pPr>
      <w:r w:rsidDel="00000000" w:rsidR="00000000" w:rsidRPr="00000000">
        <w:rPr>
          <w:b w:val="1"/>
          <w:bCs w:val="1"/>
          <w:color w:val="ff0000"/>
          <w:sz w:val="32"/>
          <w:szCs w:val="32"/>
          <w:rtl w:val="0"/>
        </w:rPr>
        <w:t xml:space="preserve">School of Computer Science And Engineering</w:t>
      </w:r>
      <w:r w:rsidDel="00000000" w:rsidR="00000000" w:rsidRPr="00000000">
        <w:rPr>
          <w:rtl w:val="0"/>
        </w:rPr>
      </w:r>
    </w:p>
    <w:p w:rsidR="00000000" w:rsidDel="00000000" w:rsidP="00000000" w:rsidRDefault="00000000" w:rsidRPr="00000000" w14:paraId="0000000E">
      <w:pPr>
        <w:spacing w:before="236" w:lineRule="auto"/>
        <w:ind w:left="742" w:right="9" w:firstLine="0"/>
        <w:jc w:val="center"/>
        <w:rPr>
          <w:sz w:val="28"/>
          <w:szCs w:val="28"/>
        </w:rPr>
      </w:pPr>
      <w:r w:rsidDel="00000000" w:rsidR="00000000" w:rsidRPr="00000000">
        <w:rPr>
          <w:sz w:val="28"/>
          <w:szCs w:val="28"/>
          <w:rtl w:val="0"/>
        </w:rPr>
        <w:t xml:space="preserve">4</w:t>
      </w:r>
      <w:r w:rsidDel="00000000" w:rsidR="00000000" w:rsidRPr="00000000">
        <w:rPr>
          <w:sz w:val="28"/>
          <w:szCs w:val="28"/>
          <w:vertAlign w:val="superscript"/>
          <w:rtl w:val="0"/>
        </w:rPr>
        <w:t xml:space="preserve">th</w:t>
      </w:r>
      <w:r w:rsidDel="00000000" w:rsidR="00000000" w:rsidRPr="00000000">
        <w:rPr>
          <w:sz w:val="28"/>
          <w:szCs w:val="28"/>
          <w:rtl w:val="0"/>
        </w:rPr>
        <w:t xml:space="preserve"> August, 2026</w:t>
      </w:r>
    </w:p>
    <w:p w:rsidR="00000000" w:rsidDel="00000000" w:rsidP="00000000" w:rsidRDefault="00000000" w:rsidRPr="00000000" w14:paraId="0000000F">
      <w:pPr>
        <w:jc w:val="center"/>
        <w:rPr>
          <w:sz w:val="28"/>
          <w:szCs w:val="28"/>
        </w:rPr>
      </w:pPr>
      <w:r w:rsidDel="00000000" w:rsidR="00000000" w:rsidRPr="00000000">
        <w:rPr>
          <w:rtl w:val="0"/>
        </w:rPr>
      </w:r>
    </w:p>
    <w:p w:rsidR="00000000" w:rsidDel="00000000" w:rsidP="00000000" w:rsidRDefault="00000000" w:rsidRPr="00000000" w14:paraId="00000010">
      <w:pPr>
        <w:jc w:val="center"/>
        <w:rPr>
          <w:sz w:val="28"/>
          <w:szCs w:val="28"/>
        </w:rPr>
      </w:pPr>
      <w:r w:rsidDel="00000000" w:rsidR="00000000" w:rsidRPr="00000000">
        <w:rPr>
          <w:rtl w:val="0"/>
        </w:rPr>
      </w:r>
    </w:p>
    <w:p w:rsidR="00000000" w:rsidDel="00000000" w:rsidP="00000000" w:rsidRDefault="00000000" w:rsidRPr="00000000" w14:paraId="00000011">
      <w:pPr>
        <w:jc w:val="center"/>
        <w:rPr>
          <w:sz w:val="28"/>
          <w:szCs w:val="28"/>
        </w:rPr>
      </w:pPr>
      <w:r w:rsidDel="00000000" w:rsidR="00000000" w:rsidRPr="00000000">
        <w:rPr>
          <w:rtl w:val="0"/>
        </w:rPr>
      </w:r>
    </w:p>
    <w:p w:rsidR="00000000" w:rsidDel="00000000" w:rsidP="00000000" w:rsidRDefault="00000000" w:rsidRPr="00000000" w14:paraId="00000012">
      <w:pPr>
        <w:jc w:val="center"/>
        <w:rPr>
          <w:sz w:val="28"/>
          <w:szCs w:val="28"/>
        </w:rPr>
        <w:sectPr>
          <w:headerReference r:id="rId7" w:type="default"/>
          <w:footerReference r:id="rId8" w:type="default"/>
          <w:pgSz w:h="16840" w:w="11910" w:orient="portrait"/>
          <w:pgMar w:bottom="1200" w:top="1780" w:left="1700" w:right="1700" w:header="0" w:footer="1020"/>
          <w:pgNumType w:start="1"/>
        </w:sectPr>
      </w:pPr>
      <w:r w:rsidDel="00000000" w:rsidR="00000000" w:rsidRPr="00000000">
        <w:rPr>
          <w:sz w:val="28"/>
          <w:szCs w:val="28"/>
          <w:rtl w:val="0"/>
        </w:rPr>
        <w:t xml:space="preserve">FACULTY : Dr. Meignanamoorthi</w:t>
      </w:r>
    </w:p>
    <w:bookmarkStart w:colFirst="0" w:colLast="0" w:name="7a4h5wwe71q" w:id="0"/>
    <w:bookmarkEnd w:id="0"/>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OBJECTIVE</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5">
      <w:pPr>
        <w:spacing w:line="360" w:lineRule="auto"/>
        <w:jc w:val="both"/>
        <w:rPr>
          <w:sz w:val="24"/>
          <w:szCs w:val="24"/>
        </w:rPr>
      </w:pPr>
      <w:r w:rsidDel="00000000" w:rsidR="00000000" w:rsidRPr="00000000">
        <w:rPr>
          <w:sz w:val="24"/>
          <w:szCs w:val="24"/>
          <w:rtl w:val="0"/>
        </w:rPr>
        <w:t xml:space="preserve">The primary goal of this project is to design, construct, and evaluate a complete machine learning pipeline that can parse, do feature engineering, and classify noisy, raw, open-source telemetry data into different semantic workload archetypes. The pipeline aims to classify serverless function invocation traces into four primary archetypes: SPIKE, PERIODIC, RAMP and STATIONARY.</w:t>
      </w:r>
    </w:p>
    <w:p w:rsidR="00000000" w:rsidDel="00000000" w:rsidP="00000000" w:rsidRDefault="00000000" w:rsidRPr="00000000" w14:paraId="00000016">
      <w:pPr>
        <w:spacing w:line="360" w:lineRule="auto"/>
        <w:jc w:val="both"/>
        <w:rPr>
          <w:sz w:val="24"/>
          <w:szCs w:val="24"/>
        </w:rPr>
      </w:pPr>
      <w:r w:rsidDel="00000000" w:rsidR="00000000" w:rsidRPr="00000000">
        <w:rPr>
          <w:rtl w:val="0"/>
        </w:rPr>
      </w:r>
    </w:p>
    <w:p w:rsidR="00000000" w:rsidDel="00000000" w:rsidP="00000000" w:rsidRDefault="00000000" w:rsidRPr="00000000" w14:paraId="00000017">
      <w:pPr>
        <w:spacing w:line="360" w:lineRule="auto"/>
        <w:jc w:val="both"/>
        <w:rPr>
          <w:sz w:val="24"/>
          <w:szCs w:val="24"/>
        </w:rPr>
      </w:pPr>
      <w:r w:rsidDel="00000000" w:rsidR="00000000" w:rsidRPr="00000000">
        <w:rPr>
          <w:sz w:val="24"/>
          <w:szCs w:val="24"/>
          <w:rtl w:val="0"/>
        </w:rPr>
        <w:t xml:space="preserve">This project explicitly isolates the fundamental academic contribution of semantic workload awareness and sidesteps the massive engineering overhead of building a live, distributed Kubernetes controller. The transition to a fully offline, mathematically rigorous classification engine guaranties a polished, high-fidelity academic deliverable. This predictive model will serve as the needed “brain” for sophisticated serverless autoscalers, enabling them to assign resources before invocation instead of after.The final deliverable comprises the complete end-to-end Python pipeline, probabilistic label models generated via Snorkel, the LightGBM classifier, and an exhaustive evaluation of accuracy metrics.</w:t>
      </w:r>
    </w:p>
    <w:p w:rsidR="00000000" w:rsidDel="00000000" w:rsidP="00000000" w:rsidRDefault="00000000" w:rsidRPr="00000000" w14:paraId="00000018">
      <w:pPr>
        <w:spacing w:line="360" w:lineRule="auto"/>
        <w:jc w:val="both"/>
        <w:rPr>
          <w:sz w:val="24"/>
          <w:szCs w:val="24"/>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PROBLEM STATEMENT</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spacing w:line="360" w:lineRule="auto"/>
        <w:jc w:val="both"/>
        <w:rPr>
          <w:sz w:val="24"/>
          <w:szCs w:val="24"/>
        </w:rPr>
      </w:pPr>
      <w:r w:rsidDel="00000000" w:rsidR="00000000" w:rsidRPr="00000000">
        <w:rPr>
          <w:sz w:val="24"/>
          <w:szCs w:val="24"/>
          <w:rtl w:val="0"/>
        </w:rPr>
        <w:t xml:space="preserve">Serverless computing (Function-as-a-Service, or FaaS) has simplified the deployment of cloud applications that separate infrastructure management. This trend does come with the inherent “cold-start” problem. It takes time for the platform to set up a new container, load the runtime, initialize the application code, and run your request on the serverless function after it has been idled for a while. This significant delay of hundreds of milliseconds to several seconds ultimately reduces the quality of latency-sensitive applications.</w:t>
      </w:r>
    </w:p>
    <w:p w:rsidR="00000000" w:rsidDel="00000000" w:rsidP="00000000" w:rsidRDefault="00000000" w:rsidRPr="00000000" w14:paraId="0000001E">
      <w:pPr>
        <w:spacing w:line="360" w:lineRule="auto"/>
        <w:jc w:val="both"/>
        <w:rPr>
          <w:sz w:val="24"/>
          <w:szCs w:val="24"/>
        </w:rPr>
      </w:pPr>
      <w:r w:rsidDel="00000000" w:rsidR="00000000" w:rsidRPr="00000000">
        <w:rPr>
          <w:rtl w:val="0"/>
        </w:rPr>
      </w:r>
    </w:p>
    <w:p w:rsidR="00000000" w:rsidDel="00000000" w:rsidP="00000000" w:rsidRDefault="00000000" w:rsidRPr="00000000" w14:paraId="0000001F">
      <w:pPr>
        <w:spacing w:line="360" w:lineRule="auto"/>
        <w:jc w:val="both"/>
        <w:rPr>
          <w:sz w:val="24"/>
          <w:szCs w:val="24"/>
        </w:rPr>
      </w:pPr>
      <w:r w:rsidDel="00000000" w:rsidR="00000000" w:rsidRPr="00000000">
        <w:rPr>
          <w:sz w:val="24"/>
          <w:szCs w:val="24"/>
          <w:rtl w:val="0"/>
        </w:rPr>
        <w:t xml:space="preserve">Present-day autoscalers, which include Kubernetes Horizontal Pod Autoscaler (HPA) and Kubernetes Event-driven Autoscaling (KEDA), are fully reactive. They observe general metrics. These would mean lower-level metrics, such as CPU utilization, memory consumption, or current request queue length. They lease resources only after the surge in the demand level breaches a defined threshold. Due to the absence of semantic knowledge regarding the workload’s innate temporal shape, these systems invariably lag behind a sudden surge in traffic (SPIKE) and fail to scale down in a timely manner in predictable drops (PERIODIC).</w:t>
      </w:r>
    </w:p>
    <w:p w:rsidR="00000000" w:rsidDel="00000000" w:rsidP="00000000" w:rsidRDefault="00000000" w:rsidRPr="00000000" w14:paraId="00000020">
      <w:pPr>
        <w:spacing w:line="360" w:lineRule="auto"/>
        <w:jc w:val="both"/>
        <w:rPr>
          <w:sz w:val="24"/>
          <w:szCs w:val="24"/>
        </w:rPr>
      </w:pPr>
      <w:r w:rsidDel="00000000" w:rsidR="00000000" w:rsidRPr="00000000">
        <w:rPr>
          <w:rtl w:val="0"/>
        </w:rPr>
      </w:r>
    </w:p>
    <w:p w:rsidR="00000000" w:rsidDel="00000000" w:rsidP="00000000" w:rsidRDefault="00000000" w:rsidRPr="00000000" w14:paraId="00000021">
      <w:pPr>
        <w:spacing w:line="360" w:lineRule="auto"/>
        <w:jc w:val="both"/>
        <w:rPr>
          <w:sz w:val="24"/>
          <w:szCs w:val="24"/>
        </w:rPr>
      </w:pPr>
      <w:r w:rsidDel="00000000" w:rsidR="00000000" w:rsidRPr="00000000">
        <w:rPr>
          <w:sz w:val="24"/>
          <w:szCs w:val="24"/>
          <w:rtl w:val="0"/>
        </w:rPr>
        <w:t xml:space="preserve">Furthermore, it is quite challenging to handle the data for serverless telemetry analysis The Azure Functions Dataset includes invocation traces that reach hundreds of thousands of time series, which are strongly volatile, display extreme sparsity, and exhibit massive scaling differences.</w:t>
      </w:r>
    </w:p>
    <w:p w:rsidR="00000000" w:rsidDel="00000000" w:rsidP="00000000" w:rsidRDefault="00000000" w:rsidRPr="00000000" w14:paraId="00000022">
      <w:pPr>
        <w:spacing w:line="360" w:lineRule="auto"/>
        <w:jc w:val="both"/>
        <w:rPr>
          <w:sz w:val="24"/>
          <w:szCs w:val="24"/>
        </w:rPr>
      </w:pPr>
      <w:r w:rsidDel="00000000" w:rsidR="00000000" w:rsidRPr="00000000">
        <w:rPr>
          <w:sz w:val="24"/>
          <w:szCs w:val="24"/>
          <w:rtl w:val="0"/>
        </w:rPr>
        <w:t xml:space="preserve">Supervised learning that requires manually labeling tens of thousands of traffic graphs is computationally and humanly expensive. Given this scale and sparsity, traditional forecasting models (like ARIMA) and standard deep learning sequence models (like LSTMs) will not work. A system is required that can programmatically take in raw traces and create a mathematical representation of the traffic shape, automatically generate labels for training, and classify the archetype of the workload in near real-time.</w:t>
      </w:r>
    </w:p>
    <w:p w:rsidR="00000000" w:rsidDel="00000000" w:rsidP="00000000" w:rsidRDefault="00000000" w:rsidRPr="00000000" w14:paraId="00000023">
      <w:pPr>
        <w:spacing w:line="360" w:lineRule="auto"/>
        <w:jc w:val="both"/>
        <w:rPr>
          <w:sz w:val="24"/>
          <w:szCs w:val="24"/>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LITERATURE SURVEY</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intersection of serverless computing optimization, time-series forecasting, and weakly supervised machine learning has produced a rich body of academic literature. This review synthesizes findings from 8 to 10 foundational papers that inform the proposed architecture.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4.1 Serverless Workload Characterization</w:t>
      </w:r>
    </w:p>
    <w:p w:rsidR="00000000" w:rsidDel="00000000" w:rsidP="00000000" w:rsidRDefault="00000000" w:rsidRPr="00000000" w14:paraId="0000002C">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Shahrad et al. (2020), "Serverless in the Wild: Characterizing and Optimizing the Serverless Workload at a Large Cloud Provider"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r w:rsidDel="00000000" w:rsidR="00000000" w:rsidRPr="00000000">
        <w:rPr>
          <w:sz w:val="24"/>
          <w:szCs w:val="24"/>
          <w:rtl w:val="0"/>
        </w:rPr>
        <w:t xml:space="preserve">This seminal paper introduced the Azure Functions 2019 dataset, which serves as the primary data source for our project. Shahrad et al. revealed that serverless workloads are overwhelmingly sparse—most functions execute very infrequently, leading to severe cold-start penalties. They proposed an initial histogram-based predictive policy that outperformed static keep-alive times. However, their approach did not attempt to semantically classify the time-series shapes (archetypes) for global modeling, opting instead for localized statistical approximations.</w:t>
      </w:r>
      <w:r w:rsidDel="00000000" w:rsidR="00000000" w:rsidRPr="00000000">
        <w:rPr>
          <w:rtl w:val="0"/>
        </w:rPr>
      </w:r>
    </w:p>
    <w:p w:rsidR="00000000" w:rsidDel="00000000" w:rsidP="00000000" w:rsidRDefault="00000000" w:rsidRPr="00000000" w14:paraId="0000002D">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sz w:val="24"/>
          <w:szCs w:val="24"/>
          <w:rtl w:val="0"/>
        </w:rPr>
        <w:t xml:space="preserve">Fuerst and Sharma (2021), "FaaSCache: keeping serverless computing alive with greedy-dual caching". Fuerst et al. approached the cold-start problem from a caching perspective, treating function containers similarly to in-memory cache blocks.</w:t>
      </w:r>
      <w:r w:rsidDel="00000000" w:rsidR="00000000" w:rsidRPr="00000000">
        <w:rPr>
          <w:rtl w:val="0"/>
        </w:rPr>
      </w:r>
    </w:p>
    <w:p w:rsidR="00000000" w:rsidDel="00000000" w:rsidP="00000000" w:rsidRDefault="00000000" w:rsidRPr="00000000" w14:paraId="0000002E">
      <w:pPr>
        <w:numPr>
          <w:ilvl w:val="0"/>
          <w:numId w:val="1"/>
        </w:numPr>
        <w:spacing w:line="360" w:lineRule="auto"/>
        <w:ind w:left="720" w:hanging="360"/>
        <w:jc w:val="both"/>
        <w:rPr>
          <w:sz w:val="24"/>
          <w:szCs w:val="24"/>
        </w:rPr>
      </w:pPr>
      <w:r w:rsidDel="00000000" w:rsidR="00000000" w:rsidRPr="00000000">
        <w:rPr>
          <w:sz w:val="24"/>
          <w:szCs w:val="24"/>
          <w:rtl w:val="0"/>
        </w:rPr>
        <w:t xml:space="preserve">Azure Public Dataset Documentation. 2019/2021. However, the large-scale data set analysis conducted by Microsoft Researchers is the backbone of our pipeline, though it is not a traditional peer-reviewed paper. The documentation highlights the very volatile nature of FaaS traces and the need for data cleaning (e.g. filtering dead functions). It provides the benchmark metrics for the workload characterization techniques in a production environment.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72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4.2 Weak Supervision and Data Labeling</w:t>
      </w:r>
    </w:p>
    <w:p w:rsidR="00000000" w:rsidDel="00000000" w:rsidP="00000000" w:rsidRDefault="00000000" w:rsidRPr="00000000" w14:paraId="00000031">
      <w:pPr>
        <w:widowControl w:val="1"/>
        <w:numPr>
          <w:ilvl w:val="0"/>
          <w:numId w:val="3"/>
        </w:numPr>
        <w:spacing w:after="0" w:before="240" w:line="276" w:lineRule="auto"/>
        <w:ind w:left="720" w:hanging="360"/>
        <w:rPr>
          <w:sz w:val="24"/>
          <w:szCs w:val="24"/>
        </w:rPr>
      </w:pPr>
      <w:r w:rsidDel="00000000" w:rsidR="00000000" w:rsidRPr="00000000">
        <w:rPr>
          <w:rFonts w:ascii="Arial" w:cs="Arial" w:eastAsia="Arial" w:hAnsi="Arial"/>
          <w:rtl w:val="0"/>
        </w:rPr>
        <w:t xml:space="preserve">Bullock et al. (2017), "ADVISE: A Graph-Temporal Approach for Airfield Surface Condition Assessment."Where it is impossible for fully manual data labeling – which it is for 10k serverless invocations – Snorkel allows you to author heuristical rule-based Labeling Functions (LFs) leveraging knowledge of the data domain. Presented Snorkel, an open-source system to enable developers to build training data in the absence of full manual labeling. When fully manual data labeling is infeasible, as in our case with 10k serverless invocation graphs, Snorkel enables developers to write heuristic rule-based Labeling Functions (LFs) with knowledge about the data domain. Snorkel's Label Model uses the outputs of various LF classifiers to model the accuracy and correlation of the individual LFs and then generates probabilistic labels. This work underpins the theoretical framework for Phase 3 of our approach.</w:t>
      </w:r>
      <w:r w:rsidDel="00000000" w:rsidR="00000000" w:rsidRPr="00000000">
        <w:rPr>
          <w:rtl w:val="0"/>
        </w:rPr>
      </w:r>
    </w:p>
    <w:p w:rsidR="00000000" w:rsidDel="00000000" w:rsidP="00000000" w:rsidRDefault="00000000" w:rsidRPr="00000000" w14:paraId="00000032">
      <w:pPr>
        <w:widowControl w:val="1"/>
        <w:numPr>
          <w:ilvl w:val="0"/>
          <w:numId w:val="3"/>
        </w:numPr>
        <w:spacing w:after="0" w:before="0" w:line="276" w:lineRule="auto"/>
        <w:ind w:left="720" w:hanging="360"/>
        <w:rPr>
          <w:sz w:val="24"/>
          <w:szCs w:val="24"/>
        </w:rPr>
      </w:pPr>
      <w:r w:rsidDel="00000000" w:rsidR="00000000" w:rsidRPr="00000000">
        <w:rPr>
          <w:rFonts w:ascii="Arial" w:cs="Arial" w:eastAsia="Arial" w:hAnsi="Arial"/>
          <w:rtl w:val="0"/>
        </w:rPr>
        <w:t xml:space="preserve">Khattar et al. (2022), "Multi-frame Weak Supervision to Label Wearable Sensor Data".</w:t>
        <w:br w:type="textWrapping"/>
        <w:t xml:space="preserve">Application of weak supervision to time-series data Several rule-based heuristics, such as signal amplitude and frequency band-based rules, were applied to wearable sensor streams, demonstrating the use of rules on weak labels to generate labels on time-series data without complex, detailed annotations. As with the aim of our approach, this has demonstrated that we can develop heuristic rules to create generally useful labels on wearable time-series data for classification.</w:t>
      </w:r>
      <w:r w:rsidDel="00000000" w:rsidR="00000000" w:rsidRPr="00000000">
        <w:rPr>
          <w:rtl w:val="0"/>
        </w:rPr>
      </w:r>
    </w:p>
    <w:p w:rsidR="00000000" w:rsidDel="00000000" w:rsidP="00000000" w:rsidRDefault="00000000" w:rsidRPr="00000000" w14:paraId="00000033">
      <w:pPr>
        <w:widowControl w:val="1"/>
        <w:numPr>
          <w:ilvl w:val="0"/>
          <w:numId w:val="3"/>
        </w:numPr>
        <w:spacing w:after="240" w:before="0" w:line="276" w:lineRule="auto"/>
        <w:ind w:left="720" w:hanging="360"/>
        <w:rPr>
          <w:sz w:val="24"/>
          <w:szCs w:val="24"/>
        </w:rPr>
      </w:pPr>
      <w:r w:rsidDel="00000000" w:rsidR="00000000" w:rsidRPr="00000000">
        <w:rPr>
          <w:rFonts w:ascii="Arial" w:cs="Arial" w:eastAsia="Arial" w:hAnsi="Arial"/>
          <w:rtl w:val="0"/>
        </w:rPr>
        <w:t xml:space="preserve">Advances in Temporal Modeling Techniques There has been continuous advances and efforts in the temporal modeling techniques of the models. Mainly, some models try to combine both the neural models and the traditional models (Chen et al., 2022)  Chen et al. (2022), "Label-Efficient Interactive Time-Series Anomaly Detection (LEIAD)."Chen et al. [2] presented a model that integrates weak supervision with active learning for industrial time-series anomaly detection. The paper addresses the cold-start challenge in machine learning where models have few initial training labels. They create training labels by aggregating results from multiple unsupervised anomaly detection algorithms, which are used as the "labeling functions". This is analogous to our feature-based approach where multiple feature heuristics are aggregated for determining the class of a serverless traffic.</w:t>
      </w:r>
      <w:r w:rsidDel="00000000" w:rsidR="00000000" w:rsidRPr="00000000">
        <w:rPr>
          <w:rtl w:val="0"/>
        </w:rPr>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4.3 Machine Learning for Autoscaling and Time-Series</w:t>
      </w:r>
    </w:p>
    <w:p w:rsidR="00000000" w:rsidDel="00000000" w:rsidP="00000000" w:rsidRDefault="00000000" w:rsidRPr="00000000" w14:paraId="00000036">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Ke et al. (2017), "LightGBM: A Highly Efficient Gradient Boosting Decision Tree"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authors demonstrated that LightGBM provides a faster training speed and less memory usage than the widely used existing gradient boosting framework, such as XGBoost. They primarily use methods including Gradient-based One-Side Sampling (GOSS) and Exclusive Feature Bundling (EFB) to make this possible. In our project, where we need to rapidly classify serverless archetypes using the tabular features extracted, LightGBM serves as an efficient inference model as part of Phase 4.</w:t>
      </w:r>
      <w:r w:rsidDel="00000000" w:rsidR="00000000" w:rsidRPr="00000000">
        <w:rPr>
          <w:rtl w:val="0"/>
        </w:rPr>
      </w:r>
    </w:p>
    <w:p w:rsidR="00000000" w:rsidDel="00000000" w:rsidP="00000000" w:rsidRDefault="00000000" w:rsidRPr="00000000" w14:paraId="00000037">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Moghimi et al. (2023), "Machine learning advances for time series forecasting"</w:t>
      </w:r>
      <w:r w:rsidDel="00000000" w:rsidR="00000000" w:rsidRPr="00000000">
        <w:rPr>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One review by Moghimi et al. Covers recent deep learning based time-series forecasting methods, Deep-learning approaches like Transformer and LSTMs as well as classical machine learning methods that take engineered features as input. What the authors highlight is that the specific task and which information is relevant play a critical role in which model should be selected. For example, for classification problems in which the overall shape of the signal matters more than the individual values at each time step, using time- and frequency-domain features in combination with ensemble tree models like LightGBM can be an efficient solution that also does not require the heavy computation power of deep learning approaches.</w:t>
      </w:r>
      <w:r w:rsidDel="00000000" w:rsidR="00000000" w:rsidRPr="00000000">
        <w:rPr>
          <w:rtl w:val="0"/>
        </w:rPr>
      </w:r>
    </w:p>
    <w:p w:rsidR="00000000" w:rsidDel="00000000" w:rsidP="00000000" w:rsidRDefault="00000000" w:rsidRPr="00000000" w14:paraId="00000038">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Jeon et al. (2024), "A House United Within Itself: SLO-Awareness for On-Premises Containerized ML Inference Clusters via Faro"</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Jeon et al. Proposed a system named Faro that provides autoscaling to Kubernetes that performs scaling decisions proactively rather than solely reacting to the current resource utilization of the containers. Faro makes use of prediction to make the scaling decision considering Service Level Objectives (SLOs). This work shows that predictive autoscaling can have the benefit for workloads that are subject to a fast pace of changes. For our project, the archetype classifier can be used as an initial intent recognition layer to supplement the identification of workload behavior before an autoscaling decision is made.</w:t>
      </w:r>
      <w:r w:rsidDel="00000000" w:rsidR="00000000" w:rsidRPr="00000000">
        <w:rPr>
          <w:rtl w:val="0"/>
        </w:rPr>
      </w:r>
    </w:p>
    <w:p w:rsidR="00000000" w:rsidDel="00000000" w:rsidP="00000000" w:rsidRDefault="00000000" w:rsidRPr="00000000" w14:paraId="00000039">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Kubernetes Official Documentation: Horizontal Pod Autoscaler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Arial" w:cs="Arial" w:eastAsia="Arial" w:hAnsi="Arial"/>
          <w:rtl w:val="0"/>
        </w:rPr>
        <w:t xml:space="preserve">The formal Kubernetes documentation explains the Horizontal Pod Autoscaler and control-loop that changes the replica count based on a resource or custom metric: The HPA checks the metrics every couple of seconds and determines the number of replicas it should have based on the observed workload. This reactive update can cause delays in the case of workloads with burst patterns. The opportunity for classifying workloads exist to proactively prepare the system.</w:t>
      </w: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 EXISTING SYSTEM ANALYSIS</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4E">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Today, serverless management and scaling architectures are almost entirely based on reactive heuristics.</w:t>
      </w:r>
    </w:p>
    <w:p w:rsidR="00000000" w:rsidDel="00000000" w:rsidP="00000000" w:rsidRDefault="00000000" w:rsidRPr="00000000" w14:paraId="0000004F">
      <w:pPr>
        <w:widowControl w:val="1"/>
        <w:spacing w:after="240" w:before="240" w:line="276" w:lineRule="auto"/>
        <w:rPr>
          <w:sz w:val="24"/>
          <w:szCs w:val="24"/>
        </w:rPr>
      </w:pPr>
      <w:r w:rsidDel="00000000" w:rsidR="00000000" w:rsidRPr="00000000">
        <w:rPr>
          <w:rFonts w:ascii="Arial" w:cs="Arial" w:eastAsia="Arial" w:hAnsi="Arial"/>
          <w:b w:val="1"/>
          <w:bCs w:val="1"/>
          <w:rtl w:val="0"/>
        </w:rPr>
        <w:t xml:space="preserve">5.1 Reactive Kubernetes autoscaling (HPA / KEDA)</w:t>
      </w:r>
      <w:r w:rsidDel="00000000" w:rsidR="00000000" w:rsidRPr="00000000">
        <w:rPr>
          <w:rFonts w:ascii="Arial" w:cs="Arial" w:eastAsia="Arial" w:hAnsi="Arial"/>
          <w:rtl w:val="0"/>
        </w:rPr>
        <w:t xml:space="preserve"> The default instance of a horizontal pod autoscaler (HPA) is a discrete control loop that wakes up every 15 seconds and determines the number of desired pods using the ratio:</w:t>
      </w:r>
      <m:oMath>
        <m:r>
          <w:rPr>
            <w:sz w:val="24"/>
            <w:szCs w:val="24"/>
          </w:rPr>
          <m:t xml:space="preserve">DesiredReplicas</m:t>
        </m:r>
        <m:r>
          <w:rPr>
            <w:rFonts w:ascii="Cambria Math" w:cs="Cambria Math" w:eastAsia="Cambria Math" w:hAnsi="Cambria Math"/>
            <w:sz w:val="24"/>
            <w:szCs w:val="24"/>
          </w:rPr>
          <m:t xml:space="preserve">=</m:t>
        </m:r>
        <m:r>
          <w:rPr>
            <w:sz w:val="24"/>
            <w:szCs w:val="24"/>
          </w:rPr>
          <m:t xml:space="preserve">⌈CurrentReplicas</m:t>
        </m:r>
        <m:r>
          <w:rPr>
            <w:sz w:val="24"/>
            <w:szCs w:val="24"/>
          </w:rPr>
          <m:t>×</m:t>
        </m:r>
        <m:d>
          <m:dPr>
            <m:begChr m:val="("/>
            <m:endChr m:val=")"/>
            <m:ctrlPr>
              <w:rPr>
                <w:sz w:val="24"/>
                <w:szCs w:val="24"/>
              </w:rPr>
            </m:ctrlPr>
          </m:dPr>
          <m:e>
            <m:f>
              <m:fPr>
                <m:ctrlPr>
                  <w:rPr>
                    <w:sz w:val="24"/>
                    <w:szCs w:val="24"/>
                  </w:rPr>
                </m:ctrlPr>
              </m:fPr>
              <m:num>
                <m:r>
                  <w:rPr>
                    <w:sz w:val="24"/>
                    <w:szCs w:val="24"/>
                  </w:rPr>
                  <m:t xml:space="preserve">CurrentMetric Value</m:t>
                </m:r>
              </m:num>
              <m:den>
                <m:r>
                  <w:rPr>
                    <w:sz w:val="24"/>
                    <w:szCs w:val="24"/>
                  </w:rPr>
                  <m:t xml:space="preserve">DesiredMetric Value</m:t>
                </m:r>
              </m:den>
            </m:f>
          </m:e>
        </m:d>
        <m:r>
          <w:rPr>
            <w:sz w:val="24"/>
            <w:szCs w:val="24"/>
          </w:rPr>
          <m:t xml:space="preserve">⌉</m:t>
        </m:r>
      </m:oMath>
      <w:r w:rsidDel="00000000" w:rsidR="00000000" w:rsidRPr="00000000">
        <w:rPr>
          <w:rtl w:val="0"/>
        </w:rPr>
      </w:r>
    </w:p>
    <w:p w:rsidR="00000000" w:rsidDel="00000000" w:rsidP="00000000" w:rsidRDefault="00000000" w:rsidRPr="00000000" w14:paraId="00000050">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This simple ratio is mathematically very elegant and is reasonably effective for traffic that is slow moving and smooth, but suffers complete failure under a serverless SPIKE.</w:t>
      </w:r>
    </w:p>
    <w:p w:rsidR="00000000" w:rsidDel="00000000" w:rsidP="00000000" w:rsidRDefault="00000000" w:rsidRPr="00000000" w14:paraId="00000051">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If a FUNCTION is idle 98% of the time, then receives 5000 requests in a single second, it takes at least 15 seconds for the HPA to see the metric go off.</w:t>
      </w:r>
    </w:p>
    <w:p w:rsidR="00000000" w:rsidDel="00000000" w:rsidP="00000000" w:rsidRDefault="00000000" w:rsidRPr="00000000" w14:paraId="00000052">
      <w:pPr>
        <w:spacing w:line="360" w:lineRule="auto"/>
        <w:jc w:val="both"/>
        <w:rPr>
          <w:sz w:val="24"/>
          <w:szCs w:val="24"/>
        </w:rPr>
      </w:pPr>
      <w:r w:rsidDel="00000000" w:rsidR="00000000" w:rsidRPr="00000000">
        <w:rPr>
          <w:sz w:val="24"/>
          <w:szCs w:val="24"/>
          <w:rtl w:val="0"/>
        </w:rPr>
        <w:t xml:space="preserve">Advanced engineering teams often attempt to circumvent reactive scaling by writing custom metric servers that track business logic (e.g., scheduling a scale-up via cron jobs for a known daily PERIODIC spike). This manual, ad-hoc rule creation is unscalable across thousands of disparate microservices. A large enterprise might have 5,000 distinct serverless functions; expecting engineers to manually graph, analyze, and write custom cron-scalers for each one is an operational impossibility. </w:t>
      </w:r>
    </w:p>
    <w:p w:rsidR="00000000" w:rsidDel="00000000" w:rsidP="00000000" w:rsidRDefault="00000000" w:rsidRPr="00000000" w14:paraId="00000053">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Acquiring a new machine and pulling an image from a registry introduces several more seconds of scale up lag, resulting in lost requests, timeouts, and horrible cold starts. KEDA attempts to solve this problem by autoscaling on a queue length rather than cpu, but the fundamental problem remains: the control plane is stateless and has no idea what will happen next.</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5.2 Manual Thresholds and Custom Metrics</w:t>
      </w:r>
    </w:p>
    <w:p w:rsidR="00000000" w:rsidDel="00000000" w:rsidP="00000000" w:rsidRDefault="00000000" w:rsidRPr="00000000" w14:paraId="00000055">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Advanced engineers have started to get around this problem with custom metrics servers that track internal business logic (for eg.</w:t>
      </w:r>
    </w:p>
    <w:p w:rsidR="00000000" w:rsidDel="00000000" w:rsidP="00000000" w:rsidRDefault="00000000" w:rsidRPr="00000000" w14:paraId="00000056">
      <w:pPr>
        <w:widowControl w:val="1"/>
        <w:spacing w:after="240" w:before="240" w:line="276" w:lineRule="auto"/>
        <w:rPr>
          <w:b w:val="1"/>
          <w:bCs w:val="1"/>
          <w:sz w:val="24"/>
          <w:szCs w:val="24"/>
        </w:rPr>
      </w:pPr>
      <w:r w:rsidDel="00000000" w:rsidR="00000000" w:rsidRPr="00000000">
        <w:rPr>
          <w:rFonts w:ascii="Arial" w:cs="Arial" w:eastAsia="Arial" w:hAnsi="Arial"/>
          <w:rtl w:val="0"/>
        </w:rPr>
        <w:t xml:space="preserve">Schedule a scale-up via cron for a supposedly daily PERIODIC spike), but writing one for every single data source is unmanageable at scale when you have maybe 10,000 micro services.1 A company of 1000 engineers might have 5000 serverless functions, it isn't feasible to expect that every one of them will be able to graph, analyze, and write a custom cron-scaler.</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5.3 The Lack of Semantic Abstraction</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5C">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There is no semantic abstraction By and large the existing systems only look at the time-series graph as a collation of data points. They don't have the abstract "shapes" or "vocabulary" to describe the workload.If an autoscaler "knows" that a FUNCTION is PERIODIC, then it can pre-warm instances 10 minutes before the scheduled period and cool them down after. If an autoscaler "knows" a FUNCTION is a RAMP then it can draw linear graphs and scale the function linearly. Without this offline classification pipeline, FaaS platforms are essentially flying blind.</w:t>
      </w:r>
    </w:p>
    <w:p w:rsidR="00000000" w:rsidDel="00000000" w:rsidP="00000000" w:rsidRDefault="00000000" w:rsidRPr="00000000" w14:paraId="0000005D">
      <w:pPr>
        <w:widowControl w:val="1"/>
        <w:spacing w:after="240" w:before="240" w:line="276" w:lineRule="auto"/>
        <w:rPr>
          <w:rFonts w:ascii="Arial" w:cs="Arial" w:eastAsia="Arial" w:hAnsi="Arial"/>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6. PROPOSED METHODOLOGY</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7F">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Our approach narrows our focus to the core academic challenge behind FaaS: intent recognition. We build a multi-stage offline ML pipeline to convert raw, unstructured serverless telemetry into accurate categorical predictions (SPIKE, PERIODIC, RAMP, STATIONARY). Phase 1: data acquisition + pre-processing The most important component of any ML pipeline is clean data. Our source data is the Azure Functions Dataset (2019/2021), a public, 100s of thousands of function invocation count trace capturing 1-minute resolution for 14 days.</w:t>
        <w:br w:type="textWrapping"/>
        <w:t xml:space="preserve"> Data filtering: The raw trace contains many "dead" functions that are simply never invoked during the 14 day window, so we filter out any function with a total 14 day invocation sum of 0. In order to keep our data small enough to run on a local laptop, we randomly sample 10,000 distinct, live functions.</w:t>
        <w:br w:type="textWrapping"/>
        <w:t xml:space="preserve"> Resampling + Imputation: Serverless logs are some of the sparsest data around; missing minutes simply imply 0 request traffic. We expand the raw data into a continuous timeline, imputing missing timestamps with 0. To reduce the high-frequency noise, we down-sample into 15-minute tumbling windows, aggregating the invocation count via sum().</w:t>
        <w:br w:type="textWrapping"/>
        <w:t xml:space="preserve"> Min-Max Normalization: Our only design constraint was that we only care about traffic shape; not magnitude. 10 SPIKE requests is exactly the same as 10,000 requests. We normalize the raw time series X=x1,x2,...,xN into Xnorm=x1norm, x2norm,...,xNnorm with:</w:t>
        <w:br w:type="textWrapping"/>
        <w:t xml:space="preserve"> Phase 2: feature engineering (mathematical core) Gradient-boosting frameworks (like LightGBM) are designed to ingest tabular data, not sequential numeric arrays. We need to collapse the temporal dimension (the 14-day sequence) into a single row of highly expressive mathematical features. For each normalized time series X=x1,x2,...,xN we generate the following feature domains:</w:t>
        <w:br w:type="textWrapping"/>
        <w:t xml:space="preserve"> Statistical Features (Time Domain) We extract fundamental moments for the distribution of invocations. Mean () and Variance (2): Quantifies the variance of the traffic. Skewness and Kurtosis: Heavy-tailed distribution (high kurtosis) are indicative of surge behavior. Spike Ratio (Rspike): a custom metric quantifying the magnitude of the surge spike over the average traffic:</w:t>
        <w:br w:type="textWrapping"/>
        <w:t xml:space="preserve"> Responsiveness of frequency domain: To distinguish the PERIODIC archetype (e.g., cron-job every hour), we transform the sequence into the frequency domain with the Fast Fourier Transform (FFT). We extract the magnitude of the dominant frequency component (excluding the zero-frequency component):</w:t>
        <w:br w:type="textWrapping"/>
        <w:t xml:space="preserve"> Trend domain: to identify the RAMP archetype (runway ramp-up), we simply fit the sequence to a linear model with a linear regression:</w:t>
        <w:br w:type="textWrapping"/>
        <w:t xml:space="preserve">Phase 3: the weak supervision engine (snorkel) Manually labelling 10,000 FaaS graphs would take us hours. Instead, we leverage programmatic weak supervision libraries like snorkel. Snorkel encodes domain knowledge as Python rules called Labeling Functions (LFs). Each LF casts a vote with label values: SPIKE (0), PERIODIC (1), RAMP (2), STATIONARY (3), or ABSTAIN (-1).</w:t>
        <w:br w:type="textWrapping"/>
        <w:t xml:space="preserve"> Labeling Function Design: Our LFs make use of the mathematical features derived in phase 2, for example:</w:t>
      </w:r>
    </w:p>
    <w:p w:rsidR="00000000" w:rsidDel="00000000" w:rsidP="00000000" w:rsidRDefault="00000000" w:rsidRPr="00000000" w14:paraId="00000080">
      <w:pPr>
        <w:pStyle w:val="Heading3"/>
        <w:widowControl w:val="1"/>
        <w:spacing w:after="80" w:before="280" w:line="276" w:lineRule="auto"/>
        <w:ind w:firstLine="0"/>
        <w:rPr>
          <w:rFonts w:ascii="Arial" w:cs="Arial" w:eastAsia="Arial" w:hAnsi="Arial"/>
          <w:b w:val="0"/>
          <w:bCs w:val="0"/>
        </w:rPr>
      </w:pPr>
      <w:bookmarkStart w:colFirst="0" w:colLast="0" w:name="_lvrine62v38b" w:id="1"/>
      <w:bookmarkEnd w:id="1"/>
      <w:r w:rsidDel="00000000" w:rsidR="00000000" w:rsidRPr="00000000">
        <w:rPr>
          <w:rFonts w:ascii="Arial" w:cs="Arial" w:eastAsia="Arial" w:hAnsi="Arial"/>
          <w:b w:val="0"/>
          <w:bCs w:val="0"/>
          <w:rtl w:val="0"/>
        </w:rPr>
        <w:t xml:space="preserve">SPIKE LF: IF R_spike &gt; 15 AND Kurtosis &gt; 10, VOTE SPIKE</w:t>
      </w:r>
    </w:p>
    <w:p w:rsidR="00000000" w:rsidDel="00000000" w:rsidP="00000000" w:rsidRDefault="00000000" w:rsidRPr="00000000" w14:paraId="00000081">
      <w:pPr>
        <w:pStyle w:val="Heading3"/>
        <w:widowControl w:val="1"/>
        <w:spacing w:after="80" w:before="280" w:line="276" w:lineRule="auto"/>
        <w:ind w:firstLine="0"/>
        <w:rPr>
          <w:rFonts w:ascii="Arial" w:cs="Arial" w:eastAsia="Arial" w:hAnsi="Arial"/>
          <w:b w:val="0"/>
          <w:bCs w:val="0"/>
        </w:rPr>
      </w:pPr>
      <w:bookmarkStart w:colFirst="0" w:colLast="0" w:name="_iv8brz264bes" w:id="2"/>
      <w:bookmarkEnd w:id="2"/>
      <w:r w:rsidDel="00000000" w:rsidR="00000000" w:rsidRPr="00000000">
        <w:rPr>
          <w:rFonts w:ascii="Arial" w:cs="Arial" w:eastAsia="Arial" w:hAnsi="Arial"/>
          <w:b w:val="0"/>
          <w:bCs w:val="0"/>
          <w:rtl w:val="0"/>
        </w:rPr>
        <w:t xml:space="preserve">PERIODIC LF: IF DominantFFTMag &gt; 90th_Percentile AND Variance &gt; 0.1, VOTE PERIODIC</w:t>
      </w:r>
    </w:p>
    <w:p w:rsidR="00000000" w:rsidDel="00000000" w:rsidP="00000000" w:rsidRDefault="00000000" w:rsidRPr="00000000" w14:paraId="00000082">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RAMP LF: IF abs(Beta1) &gt; 0.05 AND Rspike &lt; 5, VOTE RAMP</w:t>
        <w:br w:type="textWrapping"/>
      </w:r>
    </w:p>
    <w:p w:rsidR="00000000" w:rsidDel="00000000" w:rsidP="00000000" w:rsidRDefault="00000000" w:rsidRPr="00000000" w14:paraId="00000083">
      <w:pPr>
        <w:widowControl w:val="1"/>
        <w:spacing w:after="240" w:before="240" w:line="276" w:lineRule="auto"/>
        <w:rPr>
          <w:rFonts w:ascii="Arial" w:cs="Arial" w:eastAsia="Arial" w:hAnsi="Arial"/>
        </w:rPr>
      </w:pPr>
      <w:r w:rsidDel="00000000" w:rsidR="00000000" w:rsidRPr="00000000">
        <w:rPr>
          <w:rFonts w:ascii="Arial" w:cs="Arial" w:eastAsia="Arial" w:hAnsi="Arial"/>
          <w:rtl w:val="0"/>
        </w:rPr>
        <w:t xml:space="preserve"> STATIONARY LF: IF Variance &lt; 0.02 AND abs(Beta_1) &lt; 0.01, VOTE STATIONARY We generate roughly 15 overlapping and sometimes contradictory LFs. Snorkel's magic is in its Label Model: instead of simple majority voting, the Label Model records patterns of agreement/disagreement across all LFs to infer the unobserved accuracy of each rule, and produce a single, high-confidence probabilistic label for each row. This turns unlabeled raw data into a fully labeled training set with zero human supervision.</w:t>
      </w:r>
    </w:p>
    <w:p w:rsidR="00000000" w:rsidDel="00000000" w:rsidP="00000000" w:rsidRDefault="00000000" w:rsidRPr="00000000" w14:paraId="00000084">
      <w:pPr>
        <w:spacing w:after="240" w:before="240" w:line="360" w:lineRule="auto"/>
        <w:jc w:val="both"/>
        <w:rPr>
          <w:sz w:val="24"/>
          <w:szCs w:val="24"/>
        </w:rPr>
      </w:pPr>
      <w:r w:rsidDel="00000000" w:rsidR="00000000" w:rsidRPr="00000000">
        <w:rPr>
          <w:rtl w:val="0"/>
        </w:rPr>
      </w:r>
    </w:p>
    <w:p w:rsidR="00000000" w:rsidDel="00000000" w:rsidP="00000000" w:rsidRDefault="00000000" w:rsidRPr="00000000" w14:paraId="00000085">
      <w:pPr>
        <w:spacing w:line="360" w:lineRule="auto"/>
        <w:jc w:val="both"/>
        <w:rPr>
          <w:sz w:val="24"/>
          <w:szCs w:val="24"/>
        </w:rPr>
        <w:sectPr>
          <w:footerReference r:id="rId9" w:type="default"/>
          <w:type w:val="nextPage"/>
          <w:pgSz w:h="16840" w:w="11910" w:orient="portrait"/>
          <w:pgMar w:bottom="1200" w:top="1360" w:left="1700" w:right="566" w:header="0" w:footer="1020"/>
        </w:sectPr>
      </w:pPr>
      <w:r w:rsidDel="00000000" w:rsidR="00000000" w:rsidRPr="00000000">
        <w:rPr>
          <w:sz w:val="24"/>
          <w:szCs w:val="24"/>
        </w:rPr>
        <w:drawing>
          <wp:inline distB="0" distT="0" distL="0" distR="0">
            <wp:extent cx="5097463" cy="4381500"/>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5097463"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Phase 4: LightGBM Classifier Training &amp; Evaluation</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9">
      <w:pPr>
        <w:spacing w:after="240" w:before="240" w:line="360" w:lineRule="auto"/>
        <w:jc w:val="both"/>
        <w:rPr>
          <w:sz w:val="24"/>
          <w:szCs w:val="24"/>
        </w:rPr>
      </w:pPr>
      <w:r w:rsidDel="00000000" w:rsidR="00000000" w:rsidRPr="00000000">
        <w:rPr>
          <w:sz w:val="24"/>
          <w:szCs w:val="24"/>
          <w:rtl w:val="0"/>
        </w:rPr>
        <w:t xml:space="preserve">Now, with a huge collection of engineered features matched to labels generated by Snorkel, we're ready to train our main predictive model. We'll use a LightGBM Classifier.</w:t>
        <w:br w:type="textWrapping"/>
        <w:t xml:space="preserve">LightGBM uses a histogram-based tree learning algorithm which, by discretizing the continuous features into gropus, is faster and more memory efficient-good news for our dense mathematical features. We do 80/20 train test split and then let the model learn the subtle complex non-linear relationship between the statistical and spectral features and the archetype label.</w:t>
        <w:br w:type="textWrapping"/>
        <w:t xml:space="preserve">After training, this LightGBM model becomes a super speed offline inference engine-learning off a week of historical FaaS telemetry to generate features in a fraction of a millisecond and then translating those features into the archetype traffic labels that the anomaly traffic detection models use and the semantic context that the best autoscalers need.</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ARCHITECTURE DIAGRAM</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following diagram illustrates the end-to-end data flow of the machine learning pipeline, from raw cloud telemetry ingestion to final archetype classification. </w:t>
      </w:r>
      <w:r w:rsidDel="00000000" w:rsidR="00000000" w:rsidRPr="00000000">
        <w:rPr>
          <w:rFonts w:ascii="Times New Roman" w:cs="Times New Roman" w:eastAsia="Times New Roman" w:hAnsi="Times New Roman"/>
          <w:b w:val="0"/>
          <w:bCs w:val="0"/>
          <w:i w:val="1"/>
          <w:iCs w:val="1"/>
          <w:smallCaps w:val="0"/>
          <w:strike w:val="0"/>
          <w:color w:val="000000"/>
          <w:sz w:val="24"/>
          <w:szCs w:val="24"/>
          <w:u w:val="none"/>
          <w:shd w:fill="auto" w:val="clear"/>
          <w:vertAlign w:val="baseline"/>
          <w:rtl w:val="0"/>
        </w:rPr>
        <w:t xml:space="preserve">(Figure 1: Architectural Data Flow of the Offline Machine Learning Pipeline is referenced here in the document)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72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drawing>
          <wp:inline distB="0" distT="0" distL="0" distR="0">
            <wp:extent cx="5172797" cy="4124901"/>
            <wp:effectExtent b="0" l="0" r="0" t="0"/>
            <wp:docPr id="3"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172797" cy="4124901"/>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TECHNOLOGY STACK</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implementation of this project relies entirely on industry-standard, high-performance open-source Python libraries, avoiding any proprietary cloud lock-in for the core analytical pipeline. </w:t>
      </w:r>
    </w:p>
    <w:p w:rsidR="00000000" w:rsidDel="00000000" w:rsidP="00000000" w:rsidRDefault="00000000" w:rsidRPr="00000000" w14:paraId="000000AD">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Programming Language:</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Python 3.10+ </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Data Processing: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pandas, numpy, scipy. Used for massive vectorized manipulation of the 14-day telemetry traces. SciPy is specifically utilized for Fast Fourier Transforms (FFT) and Kurtosis calculations. </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Weak Supervision: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snorkel. The core framework for deploying Labeling Functions (LFs), analyzing inter-LF conflict matrices, and running the generative LabelModel. </w:t>
      </w:r>
      <w:r w:rsidDel="00000000" w:rsidR="00000000" w:rsidRPr="00000000">
        <w:rPr>
          <w:rtl w:val="0"/>
        </w:rPr>
      </w:r>
    </w:p>
    <w:p w:rsidR="00000000" w:rsidDel="00000000" w:rsidP="00000000" w:rsidRDefault="00000000" w:rsidRPr="00000000" w14:paraId="000000B0">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Machine Learning:</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lightgbm, scikit-learn. LightGBM serves as the primary inference engine due to its tree-based efficiency. Scikit-learn is utilized for Min-Max scaling, train-test splitting, and evaluation metric generation (Confusion Matrices, F1-scores). </w:t>
      </w:r>
      <w:r w:rsidDel="00000000" w:rsidR="00000000" w:rsidRPr="00000000">
        <w:rPr>
          <w:rtl w:val="0"/>
        </w:rPr>
      </w:r>
    </w:p>
    <w:p w:rsidR="00000000" w:rsidDel="00000000" w:rsidP="00000000" w:rsidRDefault="00000000" w:rsidRPr="00000000" w14:paraId="000000B1">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Visualization:</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matplotlib, seaborn. Essential for Exploratory Data Analysis (EDA), plotting individual FaaS traces, and generating polished confusion matrices for the final evaluation. </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b w:val="0"/>
          <w:bCs w:val="0"/>
          <w:i w:val="0"/>
          <w:iCs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Development Environment: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Jupyter Notebooks. Ensures a highly reproducible, narrative-driven execution flow suitable for academic delivery. </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EXPERIMENTAL PLAN</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4">
      <w:pPr>
        <w:spacing w:after="240" w:before="240" w:line="360" w:lineRule="auto"/>
        <w:jc w:val="both"/>
        <w:rPr>
          <w:b w:val="1"/>
          <w:bCs w:val="1"/>
          <w:sz w:val="24"/>
          <w:szCs w:val="24"/>
        </w:rPr>
      </w:pPr>
      <w:r w:rsidDel="00000000" w:rsidR="00000000" w:rsidRPr="00000000">
        <w:rPr>
          <w:b w:val="1"/>
          <w:bCs w:val="1"/>
          <w:sz w:val="24"/>
          <w:szCs w:val="24"/>
          <w:rtl w:val="0"/>
        </w:rPr>
        <w:t xml:space="preserve">The experiment stage is meant to be rigorous, demonstrating that workloads can be mathematically predicted and classified without humans. The plan is to follow a training-test-metric paradigm.</w:t>
      </w:r>
    </w:p>
    <w:p w:rsidR="00000000" w:rsidDel="00000000" w:rsidP="00000000" w:rsidRDefault="00000000" w:rsidRPr="00000000" w14:paraId="000000C5">
      <w:pPr>
        <w:spacing w:after="240" w:before="240" w:line="360" w:lineRule="auto"/>
        <w:jc w:val="both"/>
        <w:rPr>
          <w:b w:val="1"/>
          <w:bCs w:val="1"/>
          <w:sz w:val="24"/>
          <w:szCs w:val="24"/>
        </w:rPr>
      </w:pPr>
      <w:r w:rsidDel="00000000" w:rsidR="00000000" w:rsidRPr="00000000">
        <w:rPr>
          <w:b w:val="1"/>
          <w:bCs w:val="1"/>
          <w:sz w:val="24"/>
          <w:szCs w:val="24"/>
          <w:rtl w:val="0"/>
        </w:rPr>
        <w:t xml:space="preserve">The Snorkel-labeled dataset (10K processed functions) will be split into 80% standard train and 20% hold-out test sets. During the LightGBM training we will perform Stratified K-Fold Cross Validation to ensure that the rarest of archetypes (e.g., the hyper specific PERIODIC-workloads) are present in every fold. In addition, we will tune hyperparameters of LightGBM: numleaves, learningrate, and feature_fraction using Grid Search.</w:t>
      </w:r>
    </w:p>
    <w:p w:rsidR="00000000" w:rsidDel="00000000" w:rsidP="00000000" w:rsidRDefault="00000000" w:rsidRPr="00000000" w14:paraId="000000C6">
      <w:pPr>
        <w:spacing w:line="360" w:lineRule="auto"/>
        <w:jc w:val="both"/>
        <w:rPr>
          <w:b w:val="0"/>
          <w:bCs w:val="0"/>
        </w:rPr>
      </w:pPr>
      <w:r w:rsidDel="00000000" w:rsidR="00000000" w:rsidRPr="00000000">
        <w:rPr>
          <w:b w:val="1"/>
          <w:bCs w:val="1"/>
          <w:sz w:val="24"/>
          <w:szCs w:val="24"/>
          <w:rtl w:val="0"/>
        </w:rPr>
        <w:t xml:space="preserve">Evaluation Metrics</w:t>
      </w:r>
      <w:r w:rsidDel="00000000" w:rsidR="00000000" w:rsidRPr="00000000">
        <w:rPr>
          <w:rtl w:val="0"/>
        </w:rPr>
      </w:r>
    </w:p>
    <w:p w:rsidR="00000000" w:rsidDel="00000000" w:rsidP="00000000" w:rsidRDefault="00000000" w:rsidRPr="00000000" w14:paraId="000000C7">
      <w:pPr>
        <w:spacing w:after="240" w:before="240" w:line="360" w:lineRule="auto"/>
        <w:jc w:val="both"/>
        <w:rPr>
          <w:b w:val="1"/>
          <w:bCs w:val="1"/>
          <w:sz w:val="24"/>
          <w:szCs w:val="24"/>
        </w:rPr>
      </w:pPr>
      <w:r w:rsidDel="00000000" w:rsidR="00000000" w:rsidRPr="00000000">
        <w:rPr>
          <w:b w:val="1"/>
          <w:bCs w:val="1"/>
          <w:sz w:val="24"/>
          <w:szCs w:val="24"/>
          <w:rtl w:val="0"/>
        </w:rPr>
        <w:t xml:space="preserve">The pipeline will be judged based upon classical multi-class classification metrics. We expect to get &gt;0.85 F1-score in all archetypes.</w:t>
        <w:br w:type="textWrapping"/>
        <w:t xml:space="preserve"> Confusion matrix: A confounder graphics that allows to spot failure cases and especially the confusion between conceptually similar boundaries (e.g., the hectic jitter of the RAMP confusing with a SPIKE).</w:t>
        <w:br w:type="textWrapping"/>
        <w:t xml:space="preserve"> Precision &amp; Recall: Precision ensures the model calls SPIKE only when it really is a spike (reducing false positives), whereas recall ensures the model catches all true SPIKES (reducing false negatives).</w:t>
        <w:br w:type="textWrapping"/>
        <w:t xml:space="preserve"> Macro F1-score: The dataset is very imbalanced: most serverless functions are dead or STATIONARY, in fact, evaluating accuracy would be even more biased than usual. We will judge on the Macro F1-score, which reports equal treatment across all 4 classes regardless of relative frequency in the original data.</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INITIAL CLOUD ENVIRONMENT SETUP</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E">
      <w:pPr>
        <w:spacing w:after="240" w:before="240" w:line="360" w:lineRule="auto"/>
        <w:jc w:val="both"/>
        <w:rPr>
          <w:sz w:val="24"/>
          <w:szCs w:val="24"/>
        </w:rPr>
      </w:pPr>
      <w:r w:rsidDel="00000000" w:rsidR="00000000" w:rsidRPr="00000000">
        <w:rPr>
          <w:sz w:val="24"/>
          <w:szCs w:val="24"/>
          <w:rtl w:val="0"/>
        </w:rPr>
        <w:t xml:space="preserve">"Final format" pipeline will be offline, but machine learning workloads covering hundreds of megabytes of raw telemetry data will run on a server, hosted by a cloud-based Data Science work environment e.g. Azure Machine Learning Studio, or a Sage Maker Notebook Instance on AWS: Storage: the raw Azure Functions 2019 data set (publicly available through the Azure Public Datasets on the blob storage) will be downloaded, and stored in a sibling cloud storage bucket (e.g. Azure Data Lake or S3) that provides high-throughput read/write access for Pandas.</w:t>
      </w:r>
    </w:p>
    <w:p w:rsidR="00000000" w:rsidDel="00000000" w:rsidP="00000000" w:rsidRDefault="00000000" w:rsidRPr="00000000" w14:paraId="000000CF">
      <w:pPr>
        <w:spacing w:after="240" w:before="240" w:line="360" w:lineRule="auto"/>
        <w:jc w:val="both"/>
        <w:rPr>
          <w:sz w:val="24"/>
          <w:szCs w:val="24"/>
        </w:rPr>
      </w:pPr>
      <w:r w:rsidDel="00000000" w:rsidR="00000000" w:rsidRPr="00000000">
        <w:rPr>
          <w:sz w:val="24"/>
          <w:szCs w:val="24"/>
          <w:rtl w:val="0"/>
        </w:rPr>
        <w:t xml:space="preserve">Compute: an intermediate compute instance (similar to an Azure StandardDS3v2: 4 vCPUs and 14GB RAM) should be sufficient.</w:t>
      </w:r>
    </w:p>
    <w:p w:rsidR="00000000" w:rsidDel="00000000" w:rsidP="00000000" w:rsidRDefault="00000000" w:rsidRPr="00000000" w14:paraId="000000D0">
      <w:pPr>
        <w:spacing w:after="240" w:before="240" w:line="360" w:lineRule="auto"/>
        <w:jc w:val="both"/>
        <w:rPr>
          <w:sz w:val="24"/>
          <w:szCs w:val="24"/>
        </w:rPr>
      </w:pPr>
      <w:r w:rsidDel="00000000" w:rsidR="00000000" w:rsidRPr="00000000">
        <w:rPr>
          <w:sz w:val="24"/>
          <w:szCs w:val="24"/>
          <w:rtl w:val="0"/>
        </w:rPr>
        <w:t xml:space="preserve">No deep learning GPU instances are required, as LightGBM and Snorkel are heavily tuned for multi-threaded operations on CPUs on tabular data. Environment Management: a separate, dedicated Python 3.7/Conda environment will be prepared with exact versions for all technology stack components to allow the final Jupyter Notebook to run perfectly across machines during peer/academic review.</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sz w:val="24"/>
          <w:szCs w:val="24"/>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0" w:right="0" w:firstLine="0"/>
        <w:jc w:val="both"/>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REFERENCES (IEEE FORMAT)</w:t>
      </w:r>
    </w:p>
    <w:p w:rsidR="00000000" w:rsidDel="00000000" w:rsidP="00000000" w:rsidRDefault="00000000" w:rsidRPr="00000000" w14:paraId="000000E3">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 Shahrad, R. Fonseca, I. Goiri, G. Chaudhry, P. Batum, J. Cooke, E. Laureano, C. Tresness, M. Russinovich, and R. Bianchini, "Serverless in the Wild: Characterizing and Optimizing the Serverless Workload at a Large Cloud Provider," in USENIX Annual Technical Conference (ATC), 2020. </w:t>
      </w:r>
    </w:p>
    <w:p w:rsidR="00000000" w:rsidDel="00000000" w:rsidP="00000000" w:rsidRDefault="00000000" w:rsidRPr="00000000" w14:paraId="000000E4">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Fuerst and P. Sharma, "FaaSCache: keeping serverless computing alive with greedy-dual caching," in Proceedings of the 26th ACM International Conference on Architectural Support for Programming Languages and Operating Systems (ASPLOS), 2021, pp. 386-400. </w:t>
      </w:r>
    </w:p>
    <w:p w:rsidR="00000000" w:rsidDel="00000000" w:rsidP="00000000" w:rsidRDefault="00000000" w:rsidRPr="00000000" w14:paraId="000000E5">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Ratner, S. H. Bach, H. Ehrenberg, J. Fries, S. Wu, and C. Ré, "Snorkel: Rapid Training Data Creation with Weak Supervision," in Proceedings of the VLDB Endowment, vol. 11, no. 3, 2017, pp. 269-282. </w:t>
      </w:r>
    </w:p>
    <w:p w:rsidR="00000000" w:rsidDel="00000000" w:rsidP="00000000" w:rsidRDefault="00000000" w:rsidRPr="00000000" w14:paraId="000000E6">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Jeon et al., "A House United Within Itself: SLO-Awareness for On-Premises Containerized ML Inference Clusters via Faro," arXiv preprint arXiv:2409.19488, Sep. 2024. </w:t>
      </w:r>
    </w:p>
    <w:p w:rsidR="00000000" w:rsidDel="00000000" w:rsidP="00000000" w:rsidRDefault="00000000" w:rsidRPr="00000000" w14:paraId="000000E7">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Khattar, O'Day et al., "Multi-frame Weak Supervision to Label Wearable Sensor Data," Proceedings of relevant conferences via Semantic Scholar, 2022. </w:t>
      </w:r>
    </w:p>
    <w:p w:rsidR="00000000" w:rsidDel="00000000" w:rsidP="00000000" w:rsidRDefault="00000000" w:rsidRPr="00000000" w14:paraId="000000E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Y. Chen et al., "Label-Efficient Interactive Time-Series Anomaly Detection," arXiv preprint arXiv:2212.14621, Dec. 2022. </w:t>
      </w:r>
    </w:p>
    <w:p w:rsidR="00000000" w:rsidDel="00000000" w:rsidP="00000000" w:rsidRDefault="00000000" w:rsidRPr="00000000" w14:paraId="000000E9">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G. Ke, Q. Meng, T. Finley, T. Wang, W. Chen, W. Ma, Q. Ye, and T. Liu, "LightGBM: A Highly Efficient Gradient Boosting Decision Tree," in Advances in Neural Information Processing Systems (NIPS), vol. 30, 2017. </w:t>
      </w:r>
    </w:p>
    <w:p w:rsidR="00000000" w:rsidDel="00000000" w:rsidP="00000000" w:rsidRDefault="00000000" w:rsidRPr="00000000" w14:paraId="000000EA">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Moghimi, J. Hattori, A. Li et al., "Machine learning advances for time series forecasting," Journal of Economic Surveys, vol. 37, no. 1, pp. 76-111, 2023. </w:t>
      </w:r>
    </w:p>
    <w:p w:rsidR="00000000" w:rsidDel="00000000" w:rsidP="00000000" w:rsidRDefault="00000000" w:rsidRPr="00000000" w14:paraId="000000EB">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Microsoft Azure, "Azure Functions Invocation Trace 2019," Azure Public Dataset Repository, GitHub, Accessed: May 2024. [Online]. Available: </w:t>
      </w:r>
      <w:hyperlink r:id="rId12">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https://github.com/Azure/AzurePublicDataset</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C">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nextPage"/>
          <w:pgSz w:h="16840" w:w="11910" w:orient="portrait"/>
          <w:pgMar w:bottom="1200" w:top="1380" w:left="1700" w:right="566" w:header="0" w:footer="1020"/>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Kubernetes Team, "Horizontal Pod Autoscaler," Kubernetes Documentation, 2024. [Online]. Available: </w:t>
      </w:r>
      <w:hyperlink r:id="rId13">
        <w:r w:rsidDel="00000000" w:rsidR="00000000" w:rsidRPr="00000000">
          <w:rPr>
            <w:rFonts w:ascii="Times New Roman" w:cs="Times New Roman" w:eastAsia="Times New Roman" w:hAnsi="Times New Roman"/>
            <w:b w:val="0"/>
            <w:bCs w:val="0"/>
            <w:i w:val="0"/>
            <w:iCs w:val="0"/>
            <w:smallCaps w:val="0"/>
            <w:strike w:val="0"/>
            <w:color w:val="0000ff"/>
            <w:sz w:val="24"/>
            <w:szCs w:val="24"/>
            <w:u w:val="single"/>
            <w:shd w:fill="auto" w:val="clear"/>
            <w:vertAlign w:val="baseline"/>
            <w:rtl w:val="0"/>
          </w:rPr>
          <w:t xml:space="preserve">https://kubernetes.io/docs/tasks/run-application/horizontal-pod-autoscale/</w:t>
        </w:r>
      </w:hyperlink>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Times New Roman" w:cs="Times New Roman" w:eastAsia="Times New Roman" w:hAnsi="Times New Roman"/>
          <w:b w:val="0"/>
          <w:bCs w:val="0"/>
          <w:i w:val="0"/>
          <w:iCs w:val="0"/>
          <w:smallCaps w:val="0"/>
          <w:strike w:val="0"/>
          <w:color w:val="000000"/>
          <w:sz w:val="17"/>
          <w:szCs w:val="17"/>
          <w:u w:val="none"/>
          <w:shd w:fill="auto" w:val="clear"/>
          <w:vertAlign w:val="baseline"/>
        </w:rPr>
      </w:pPr>
      <w:bookmarkStart w:colFirst="0" w:colLast="0" w:name="_qhyw083qw9j2" w:id="3"/>
      <w:bookmarkEnd w:id="3"/>
      <w:r w:rsidDel="00000000" w:rsidR="00000000" w:rsidRPr="00000000">
        <w:rPr>
          <w:rtl w:val="0"/>
        </w:rPr>
      </w:r>
    </w:p>
    <w:sectPr>
      <w:type w:val="nextPage"/>
      <w:pgSz w:h="16840" w:w="11910" w:orient="portrait"/>
      <w:pgMar w:bottom="1200" w:top="1820" w:left="1700" w:right="566" w:header="0" w:footer="10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Cambria Math"/>
  <w:font w:name="Noto Sans Symbol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F">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2879152</wp:posOffset>
              </wp:positionH>
              <wp:positionV relativeFrom="paragraph">
                <wp:posOffset>498786</wp:posOffset>
              </wp:positionV>
              <wp:extent cx="95885" cy="180975"/>
              <wp:effectExtent b="0" l="0" r="0" t="0"/>
              <wp:wrapNone/>
              <wp:docPr id="1" name=""/>
              <a:graphic>
                <a:graphicData uri="http://schemas.microsoft.com/office/word/2010/wordprocessingShape">
                  <wps:wsp>
                    <wps:cNvSpPr/>
                    <wps:cNvPr id="2" name="Shape 2"/>
                    <wps:spPr>
                      <a:xfrm>
                        <a:off x="0" y="0"/>
                        <a:ext cx="95885" cy="180975"/>
                      </a:xfrm>
                      <a:prstGeom prst="rect">
                        <a:avLst/>
                      </a:prstGeom>
                      <a:noFill/>
                      <a:ln>
                        <a:noFill/>
                      </a:ln>
                    </wps:spPr>
                    <wps:txbx>
                      <w:txbxContent>
                        <w:p w:rsidR="00000000" w:rsidDel="00000000" w:rsidP="00000000" w:rsidRDefault="00000000" w:rsidRPr="00000000">
                          <w:pPr>
                            <w:spacing w:after="0" w:before="11.000000238418579" w:line="240"/>
                            <w:ind w:left="20" w:right="0" w:firstLine="2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2879152</wp:posOffset>
              </wp:positionH>
              <wp:positionV relativeFrom="paragraph">
                <wp:posOffset>498786</wp:posOffset>
              </wp:positionV>
              <wp:extent cx="95885" cy="180975"/>
              <wp:effectExtent b="0" l="0" r="0" t="0"/>
              <wp:wrapNone/>
              <wp:docPr id="1"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5885" cy="180975"/>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F0">
    <w:pPr>
      <w:keepNext w:val="0"/>
      <w:keepLines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2923857</wp:posOffset>
              </wp:positionH>
              <wp:positionV relativeFrom="paragraph">
                <wp:posOffset>-135194</wp:posOffset>
              </wp:positionV>
              <wp:extent cx="229235" cy="180975"/>
              <wp:effectExtent b="0" l="0" r="0" t="0"/>
              <wp:wrapNone/>
              <wp:docPr id="2" name=""/>
              <a:graphic>
                <a:graphicData uri="http://schemas.microsoft.com/office/word/2010/wordprocessingShape">
                  <wps:wsp>
                    <wps:cNvSpPr/>
                    <wps:cNvPr id="3" name="Shape 3"/>
                    <wps:spPr>
                      <a:xfrm>
                        <a:off x="0" y="0"/>
                        <a:ext cx="229235" cy="180975"/>
                      </a:xfrm>
                      <a:prstGeom prst="rect">
                        <a:avLst/>
                      </a:prstGeom>
                      <a:noFill/>
                      <a:ln>
                        <a:noFill/>
                      </a:ln>
                    </wps:spPr>
                    <wps:txbx>
                      <w:txbxContent>
                        <w:p w:rsidR="00000000" w:rsidDel="00000000" w:rsidP="00000000" w:rsidRDefault="00000000" w:rsidRPr="00000000">
                          <w:pPr>
                            <w:spacing w:after="0" w:before="11.000000238418579" w:line="240"/>
                            <w:ind w:left="60" w:right="0" w:firstLine="60"/>
                            <w:jc w:val="left"/>
                            <w:textDirection w:val="btLr"/>
                          </w:pPr>
                          <w:r w:rsidDel="00000000" w:rsidR="00000000" w:rsidRPr="00000000">
                            <w:rPr>
                              <w:rFonts w:ascii="Times New Roman" w:cs="Times New Roman" w:eastAsia="Times New Roman" w:hAnsi="Times New Roman"/>
                              <w:b w:val="0"/>
                              <w:i w:val="0"/>
                              <w:smallCaps w:val="0"/>
                              <w:strike w:val="0"/>
                              <w:color w:val="000000"/>
                              <w:sz w:val="22"/>
                              <w:vertAlign w:val="baseline"/>
                            </w:rPr>
                            <w:t xml:space="preserve">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2923857</wp:posOffset>
              </wp:positionH>
              <wp:positionV relativeFrom="paragraph">
                <wp:posOffset>-135194</wp:posOffset>
              </wp:positionV>
              <wp:extent cx="229235" cy="180975"/>
              <wp:effectExtent b="0" l="0" r="0" t="0"/>
              <wp:wrapNone/>
              <wp:docPr id="2" name="image2.png"/>
              <a:graphic>
                <a:graphicData uri="http://schemas.openxmlformats.org/drawingml/2006/picture">
                  <pic:pic>
                    <pic:nvPicPr>
                      <pic:cNvPr id="0" name="image2.png"/>
                      <pic:cNvPicPr preferRelativeResize="0"/>
                    </pic:nvPicPr>
                    <pic:blipFill>
                      <a:blip r:embed="rId1"/>
                      <a:srcRect b="0" l="0" r="0" t="0"/>
                      <a:stretch>
                        <a:fillRect/>
                      </a:stretch>
                    </pic:blipFill>
                    <pic:spPr>
                      <a:xfrm>
                        <a:off x="0" y="0"/>
                        <a:ext cx="229235" cy="180975"/>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E">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4"/>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
    <w:lvl w:ilvl="0">
      <w:start w:val="7"/>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I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jc w:val="center"/>
    </w:pPr>
    <w:rPr>
      <w:b w:val="1"/>
      <w:bCs w:val="1"/>
      <w:sz w:val="32"/>
      <w:szCs w:val="32"/>
    </w:rPr>
  </w:style>
  <w:style w:type="paragraph" w:styleId="Heading2">
    <w:name w:val="heading 2"/>
    <w:basedOn w:val="Normal"/>
    <w:next w:val="Normal"/>
    <w:pPr>
      <w:spacing w:before="58" w:lineRule="auto"/>
      <w:ind w:left="881" w:hanging="421"/>
    </w:pPr>
    <w:rPr>
      <w:b w:val="1"/>
      <w:bCs w:val="1"/>
      <w:sz w:val="28"/>
      <w:szCs w:val="28"/>
    </w:rPr>
  </w:style>
  <w:style w:type="paragraph" w:styleId="Heading3">
    <w:name w:val="heading 3"/>
    <w:basedOn w:val="Normal"/>
    <w:next w:val="Normal"/>
    <w:pPr>
      <w:spacing w:before="208" w:lineRule="auto"/>
      <w:ind w:hanging="392"/>
    </w:pPr>
    <w:rPr>
      <w:b w:val="1"/>
      <w:bCs w:val="1"/>
      <w:sz w:val="26"/>
      <w:szCs w:val="26"/>
    </w:rPr>
  </w:style>
  <w:style w:type="paragraph" w:styleId="Heading4">
    <w:name w:val="heading 4"/>
    <w:basedOn w:val="Normal"/>
    <w:next w:val="Normal"/>
    <w:pPr>
      <w:spacing w:before="77" w:lineRule="auto"/>
      <w:jc w:val="center"/>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before="105" w:lineRule="auto"/>
      <w:ind w:left="1233" w:right="507" w:hanging="0.9999999999999432"/>
      <w:jc w:val="center"/>
    </w:pPr>
    <w:rPr>
      <w:b w:val="1"/>
      <w:bCs w:val="1"/>
      <w:sz w:val="44"/>
      <w:szCs w:val="4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4.png"/><Relationship Id="rId13" Type="http://schemas.openxmlformats.org/officeDocument/2006/relationships/hyperlink" Target="https://kubernetes.io/docs/tasks/run-application/horizontal-pod-autoscale/" TargetMode="External"/><Relationship Id="rId12" Type="http://schemas.openxmlformats.org/officeDocument/2006/relationships/hyperlink" Target="https://github.com/Azure/AzurePublicDatase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