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  <w:jc w:val="center"/>
      </w:pPr>
      <w:r>
        <w:rPr>
          <w:rFonts w:ascii="Calibri" w:cs="Calibri" w:eastAsia="Calibri" w:hAnsi="Calibri"/>
          <w:b/>
          <w:bCs/>
          <w:color w:val="0D47A1"/>
          <w:sz w:val="60"/>
          <w:szCs w:val="60"/>
        </w:rPr>
        <w:t xml:space="preserve">GWAS Collaboration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12121"/>
          <w:sz w:val="44"/>
          <w:szCs w:val="44"/>
        </w:rPr>
        <w:t xml:space="preserve">Workflow at a Glance</w:t>
      </w:r>
    </w:p>
    <w:p>
      <w:pPr>
        <w:spacing w:after="8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Initiator  •  Collaboration Server  •  Collaborator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24242"/>
          <w:sz w:val="26"/>
          <w:szCs w:val="26"/>
        </w:rPr>
        <w:t xml:space="preserve">Short version — 7 key steps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757575"/>
          <w:sz w:val="22"/>
          <w:szCs w:val="22"/>
        </w:rPr>
        <w:t xml:space="preserve">Companion to the full timeline. Login/authentication and backend internals are omitted.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How to read this document</w:t>
      </w:r>
    </w:p>
    <w:p>
      <w:pPr>
        <w:spacing w:after="120" w:before="8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Each numbered step below is one stage of a GWAS collaboration, from registering cohorts to reading the final AI-generated summary report.</w:t>
      </w:r>
    </w:p>
    <w:p>
      <w:pPr>
        <w:spacing w:after="120" w:before="8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Every step shows three columns: what the Initiator (study lead) is doing, what the Collaboration Server is doing, and what the Collaborator is doing — at the same point in time.</w:t>
      </w:r>
    </w:p>
    <w:p>
      <w:pPr>
        <w:spacing w:after="120" w:before="8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A purple ▸ ON MACHINE banner means that step's work happens on that party's own computer. Raw genotype data never leaves it — only counts, survivor lists, and summary statistics are returned.</w:t>
      </w:r>
    </w:p>
    <w:p>
      <w:pPr>
        <w:spacing w:after="120" w:before="8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Each step has 1–3 screenshot placeholders below the swimlane — drop in a screenshot of the actual UI for that stage.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8"/>
          <w:szCs w:val="28"/>
        </w:rPr>
        <w:t xml:space="preserve">The 7 steps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8480"/>
      </w:tblGrid>
      <w:tr>
        <w:trPr>
          <w:tblHeader/>
        </w:trPr>
        <w:tc>
          <w:tcPr>
            <w:tcW w:type="dxa" w:w="12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</w:t>
            </w:r>
          </w:p>
        </w:tc>
        <w:tc>
          <w:tcPr>
            <w:tcW w:type="dxa" w:w="848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1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Register the cohort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Each party tells the platform about its data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2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Set up the collaboration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Initiator configures the study and invites partners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3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Accept the invitation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Collaborator agrees to participate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4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Quality Control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Filter samples and SNPs — privately on each machine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5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Generate summary statistics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Turn QC-filtered samples into per-SNP counts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6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Run GWAS analysis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Combine counts across parties and view results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47A1"/>
                <w:sz w:val="26"/>
                <w:szCs w:val="26"/>
              </w:rPr>
              <w:t xml:space="preserve">7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AI summary report</w:t>
            </w:r>
          </w:p>
        </w:tc>
        <w:tc>
          <w:tcPr>
            <w:tcW w:type="dxa" w:w="84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24242"/>
                <w:sz w:val="22"/>
                <w:szCs w:val="22"/>
              </w:rPr>
              <w:t xml:space="preserve">Plain-English, privacy-preserving overview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1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Register the cohort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Each party tells the platform about its data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Each party tells the platform about its data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INITIATOR'S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Logs in and adds a record describing their cohort: phenotype (e.g. eye colour, heart disease) and sample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Their raw genotype file stays on their own computer.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Stores only the cohort description so other researchers can discover it later.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receives the underlying genotype data.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COLLABORATOR'S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Does the same on their own computer — registers their cohort with phenotype + sample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Their raw data also stays local.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Cohort registration form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1914525"/>
            <wp:effectExtent t="0" r="0" b="0" l="0"/>
            <wp:docPr id="1" name="Cohort registration form" descr="Cohort registration form" title="Cohort registr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2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Set up the collaboration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Initiator configures the study and invites partners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Initiator configures the study and invites partners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Opens the Collaborations page and clicks Start a Collaboration.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1: gives the collaboration a name and picks Experiment Type = GWAS.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2: picks one or more Quality Control methods (and sets threshold values for methods that need them).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Selects which dataset to use for the study.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3: searches for partners by phenotype and sample size, then sends invitations and submits.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Creates the collaboration record with all the chosen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Sends invitations to each selected researcher.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Receives a notification that they have been invited.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Wizard Step 1 — Name + Experiment Type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1990725"/>
            <wp:effectExtent t="0" r="0" b="0" l="0"/>
            <wp:docPr id="1" name="Wizard Step 1 — Name + Experiment Type" descr="Wizard Step 1 — Name + Experiment Type" title="Wizard Step 1 — Name + Experiment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Wizard Step 2 — QC methods + thresholds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2133600"/>
            <wp:effectExtent t="0" r="0" b="0" l="0"/>
            <wp:docPr id="1" name="Wizard Step 2 — QC methods + thresholds" descr="Wizard Step 2 — QC methods + thresholds" title="Wizard Step 2 — QC methods + thresho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Wizard Step 3 — Find Collaborators + Submit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3914775"/>
            <wp:effectExtent t="0" r="0" b="0" l="0"/>
            <wp:docPr id="1" name="Wizard Step 3 — Find Collaborators + Submit" descr="Wizard Step 3 — Find Collaborators + Submit" title="Wizard Step 3 — Find Collaborators + 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3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Accept the invitation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Collaborator agrees to participate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Collaborator agrees to participate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Watches the collaboration page — the invited researcher's status changes from pending to accepted.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Records the acceptance and is ready to start Quality Control.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Reviews the invitation (study name, QC plan, phenotype) and clicks Accept.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Collaborator's invitation card with Accept / Reject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3733800"/>
            <wp:effectExtent t="0" r="0" b="0" l="0"/>
            <wp:docPr id="1" name="Collaborator's invitation card with Accept / Reject" descr="Collaborator's invitation card with Accept / Reject" title="Collaborator's invitation card with Accept / Re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4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Quality Control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Filter samples and SNPs — privately on each machine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Filter samples and SNPs — privately on each machine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INITIATOR'S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Filter-only QC (MAF / HWE / Missing Data) runs automatically — survivor counts show up on its 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pairwise methods (Sample Relatedness, Population Stratification) clicks Initiate QC Calculation.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Drags a Threshold slider — the per-party sample counts update LIVE as the slider moves.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Clicks Confirm Threshold to lock in the surviving samples and reveal the per-party preview list.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Orchestrates QC across all parties.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Receives only the survivor lists — never sees raw genotype data.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COLLABORATOR'S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QC runs on their own machine against their raw data. Raw data never leaves their computer.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Sees the same live counts and the same preview list once the initiator confirms.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QC running on each party's machine (per-method progress)</w:t>
      </w:r>
    </w:p>
    <w:p>
      <w:pPr>
        <w:spacing w:after="0" w:before="0"/>
        <w:jc w:val="center"/>
      </w:pPr>
      <w:r>
        <w:drawing>
          <wp:inline distT="0" distB="0" distL="0" distR="0">
            <wp:extent cx="6858000" cy="3819525"/>
            <wp:effectExtent t="0" r="0" b="0" l="0"/>
            <wp:docPr id="1" name="QC running on each party's machine (per-method progress)" descr="QC running on each party's machine (per-method progress)" title="QC running on each party's machine (per-method progr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rPr>
          <w:cantSplit/>
        </w:trPr>
        <w:tc>
          <w:tcPr>
            <w:tcW w:type="dxa" w:w="13680"/>
            <w:tcBorders>
              <w:top w:val="dashed" w:color="9E9E9E" w:sz="6"/>
              <w:left w:val="dashed" w:color="9E9E9E" w:sz="6"/>
              <w:bottom w:val="dashed" w:color="9E9E9E" w:sz="6"/>
              <w:right w:val="dashed" w:color="9E9E9E" w:sz="6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16161"/>
                <w:sz w:val="20"/>
                <w:szCs w:val="20"/>
              </w:rPr>
              <w:t xml:space="preserve">[ SCREENSHOT ]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Initiate QC Calculation + threshold slider + preview list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For pairwise methods: Initiate button, slider with live per-party counts, Confirm Threshold, preview list.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5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Generate summary statistics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Turn QC-filtered samples into per-SNP counts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Turn QC-filtered samples into per-SNP counts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INITIATOR'S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Clicks Create GWAS Dataset.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Per-SNP case/control counts are computed on their own machine and only those counts are sent to the server.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Collects each party's aggregated 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Marks the collaboration as ready for analysis once everyone has uploaded.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hd w:fill="F3E5F5" w:val="clear"/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▸ ON COLLABORATOR'S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Does the same on their machine — counts only, never raw data.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rPr>
          <w:cantSplit/>
        </w:trPr>
        <w:tc>
          <w:tcPr>
            <w:tcW w:type="dxa" w:w="13680"/>
            <w:tcBorders>
              <w:top w:val="dashed" w:color="9E9E9E" w:sz="6"/>
              <w:left w:val="dashed" w:color="9E9E9E" w:sz="6"/>
              <w:bottom w:val="dashed" w:color="9E9E9E" w:sz="6"/>
              <w:right w:val="dashed" w:color="9E9E9E" w:sz="6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16161"/>
                <w:sz w:val="20"/>
                <w:szCs w:val="20"/>
              </w:rPr>
              <w:t xml:space="preserve">[ SCREENSHOT ]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Stat upload status — each party Uploaded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Per-party checklist showing all rows flipped to Uploaded.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6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Run GWAS analysis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Combine counts across parties and view results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Combine counts across parties and view results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Clicks Initiate GWAS Calculation.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Sees a ranked table of SNPs with chi-square and p-value, sorted by significance.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export the results.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Combines the per-SNP counts from all parties.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Computes the chi-square test for each SNP and stores the results.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Sees the same results table — identified only by site label, not by name.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rPr>
          <w:cantSplit/>
        </w:trPr>
        <w:tc>
          <w:tcPr>
            <w:tcW w:type="dxa" w:w="13680"/>
            <w:tcBorders>
              <w:top w:val="dashed" w:color="9E9E9E" w:sz="6"/>
              <w:left w:val="dashed" w:color="9E9E9E" w:sz="6"/>
              <w:bottom w:val="dashed" w:color="9E9E9E" w:sz="6"/>
              <w:right w:val="dashed" w:color="9E9E9E" w:sz="6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16161"/>
                <w:sz w:val="20"/>
                <w:szCs w:val="20"/>
              </w:rPr>
              <w:t xml:space="preserve">[ SCREENSHOT ]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GWAS results table (top SNPs)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Table sorted by p-value / chi-square.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Step 7  •  </w:t>
      </w:r>
      <w:r>
        <w:rPr>
          <w:rFonts w:ascii="Calibri" w:cs="Calibri" w:eastAsia="Calibri" w:hAnsi="Calibri"/>
          <w:b/>
          <w:bCs/>
          <w:color w:val="212121"/>
          <w:sz w:val="32"/>
          <w:szCs w:val="32"/>
        </w:rPr>
        <w:t xml:space="preserve">AI summary report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Plain-English, privacy-preserving 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93"/>
        <w:gridCol w:w="3993"/>
        <w:gridCol w:w="3994"/>
      </w:tblGrid>
      <w:tr>
        <w:trPr>
          <w:tblHeader/>
        </w:trPr>
        <w:tc>
          <w:tcPr>
            <w:tcW w:type="dxa" w:w="170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auto" w:w="0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INITIATOR</w:t>
            </w:r>
          </w:p>
        </w:tc>
        <w:tc>
          <w:tcPr>
            <w:tcW w:type="auto" w:w="0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57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COLLABORATION SERVER</w:t>
            </w:r>
          </w:p>
        </w:tc>
        <w:tc>
          <w:tcPr>
            <w:tcW w:type="auto" w:w="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COLLABORATOR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36"/>
                <w:szCs w:val="36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Plain-English, privacy-preserving overview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Clicks Generate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Reads the AI-written report: overview, top SNPs, per-site contribution, and a recommendation (continue / continue with caveats / reconsider).</w:t>
            </w:r>
          </w:p>
        </w:tc>
        <w:tc>
          <w:tcPr>
            <w:tcW w:type="dxa" w:w="399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Builds an anonymised digest (collaborators shown as Site A, Site B, …) and sends it to the AI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Stores the generated report so subsequent reads are instant.</w:t>
            </w:r>
          </w:p>
        </w:tc>
        <w:tc>
          <w:tcPr>
            <w:tcW w:type="dxa" w:w="39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Opens the collaboration and reads the same report.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Identified only by site label — never by real name or institution.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rPr>
          <w:cantSplit/>
        </w:trPr>
        <w:tc>
          <w:tcPr>
            <w:tcW w:type="dxa" w:w="13680"/>
            <w:tcBorders>
              <w:top w:val="dashed" w:color="9E9E9E" w:sz="6"/>
              <w:left w:val="dashed" w:color="9E9E9E" w:sz="6"/>
              <w:bottom w:val="dashed" w:color="9E9E9E" w:sz="6"/>
              <w:right w:val="dashed" w:color="9E9E9E" w:sz="6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16161"/>
                <w:sz w:val="20"/>
                <w:szCs w:val="20"/>
              </w:rPr>
              <w:t xml:space="preserve">[ SCREENSHOT ]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Final AI Summary card with recommendation banner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Overview + top SNPs + per-site analysis + recommendation callout.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Privacy at a glance</w:t>
      </w:r>
    </w:p>
    <w:p>
      <w:pPr>
        <w:spacing w:after="120" w:before="10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•  Raw genotype data never leaves the machine it sits on. Quality Control runs locally on each party's computer; only survivor lists are returned to the Collaboration Server.</w:t>
      </w:r>
    </w:p>
    <w:p>
      <w:pPr>
        <w:spacing w:after="120" w:before="10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•  The GWAS step uses aggregated case/control counts — there is no row-level genotype exchange between parties.</w:t>
      </w:r>
    </w:p>
    <w:p>
      <w:pPr>
        <w:spacing w:after="120" w:before="100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•  The AI summary is built from an already-aggregated, anonymised digest. Collaborators are shown as Site A / Site B / … in the report.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E9E9E"/>
        <w:sz w:val="18"/>
        <w:szCs w:val="18"/>
      </w:rPr>
      <w:t xml:space="preserve">Page </w:t>
    </w:r>
    <w:r>
      <w:rPr>
        <w:rFonts w:ascii="Calibri" w:cs="Calibri" w:eastAsia="Calibri" w:hAnsi="Calibri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E9E9E"/>
        <w:sz w:val="18"/>
        <w:szCs w:val="18"/>
      </w:rPr>
      <w:t xml:space="preserve"> of </w:t>
    </w:r>
    <w:r>
      <w:rPr>
        <w:rFonts w:ascii="Calibri" w:cs="Calibri" w:eastAsia="Calibri" w:hAnsi="Calibri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680"/>
      </w:tabs>
    </w:pPr>
    <w:r>
      <w:rPr>
        <w:rFonts w:ascii="Calibri" w:cs="Calibri" w:eastAsia="Calibri" w:hAnsi="Calibri"/>
        <w:color w:val="9E9E9E"/>
        <w:sz w:val="18"/>
        <w:szCs w:val="18"/>
      </w:rPr>
      <w:t xml:space="preserve">GWAS Collaboration — Short Timeline</w:t>
    </w:r>
    <w:r>
      <w:rPr>
        <w:rFonts w:ascii="Calibri" w:cs="Calibri" w:eastAsia="Calibri" w:hAnsi="Calibri"/>
        <w:i/>
        <w:iCs/>
        <w:color w:val="9E9E9E"/>
        <w:sz w:val="18"/>
        <w:szCs w:val="18"/>
      </w:rPr>
      <w:t xml:space="preserve">	Initiator  •  Server  •  Collaborator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1212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806e93d1ac5f11762c97dc692c4e0ffc6aa969.png"/><Relationship Id="rId10" Type="http://schemas.openxmlformats.org/officeDocument/2006/relationships/image" Target="media/c2d7df88000e20a3383fc5d4c20832da7b54a7e1.png"/><Relationship Id="rId11" Type="http://schemas.openxmlformats.org/officeDocument/2006/relationships/image" Target="media/6ff5e62fe52f86132e7b55d1ca3c79dc17a1eea9.png"/><Relationship Id="rId12" Type="http://schemas.openxmlformats.org/officeDocument/2006/relationships/image" Target="media/7f5a44e0207592a4245c5d05306539d310b82a48.png"/><Relationship Id="rId13" Type="http://schemas.openxmlformats.org/officeDocument/2006/relationships/image" Target="media/13091c0fec5e48937ceb9da0237b963ecd546666.png"/><Relationship Id="rId14" Type="http://schemas.openxmlformats.org/officeDocument/2006/relationships/image" Target="media/ce32e78f5d4c8b88d6e4791e172f431aaa01644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GWAS Collaboration — Short Timeline</dc:title>
  <dc:creator>Cowork</dc:creator>
  <dc:description>7-step short version for quick readers.</dc:description>
  <cp:lastModifiedBy>Un-named</cp:lastModifiedBy>
  <cp:revision>1</cp:revision>
  <dcterms:created xsi:type="dcterms:W3CDTF">2026-05-20T00:15:36.332Z</dcterms:created>
  <dcterms:modified xsi:type="dcterms:W3CDTF">2026-05-20T00:15:36.338Z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