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(3)9N2l0fBu9gTcUO92pPj/SYp6BH2r2Y7V0fev0uBCS3+ame4EmlDPbweG8tLcb4VYUi2KUQVA
6RvidxhC88QfyuuhcE91CmZlVY043ip2tKPWaeKR5fyYMiINWRlMnNn65KXYMutC+wxz10vC
SQ+eXxumCjh4oGrAU0PweQkb1p3v/DGfDobXQTrjW3LmbWxIksbgLjWWVphn022EhZdO12wC
vVqkYSPhljWB3gEi/f</vt:lpwstr>
  </property>
  <property fmtid="{D5CDD505-2E9C-101B-9397-08002B2CF9AE}" pid="11" name="_2015_ms_pID_7253431">
    <vt:lpwstr>lFxua+4OpLbcHX5WNR7HvmX16gCQhHQGeu5+3QKT5muPnW3fLPvYaM
i0nGUsN9Gq5IHSaWD6ocJwTLoR1XwylDpYBsnD7O2TKmrYr7hsbVC5Ldt/QI1OS+B1J6cUz3
3WX+xu9e2xHNz20SZ1oeL1r1CYcX0lNlQ459xxy3BhEyZDlhJwWYXRZSZ8QR34zpGfD8uIM4
PCyVisvB2VZ5R2icWex4W8s8WQz4htIo9c7s</vt:lpwstr>
  </property>
  <property fmtid="{D5CDD505-2E9C-101B-9397-08002B2CF9AE}" pid="12" name="_2015_ms_pID_7253432">
    <vt:lpwstr>Nte/yWQBMZ4RpTqlNgYnm1hV2v+hDlwym2FD
+PMaiI7unY54unruPVs0U1Uo0mMi2A==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