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720" w:lineRule="exact"/>
      </w:pPr>
      <w:r>
        <w:rPr>
          <w:rFonts w:eastAsia="宋体"/>
          <w:rFonts w:ascii="宋体" w:hAnsi="宋体"/>
          <w:b/>
          <w:sz w:val="44"/>
        </w:rPr>
        <w:t>关于国家发改委密集召开民营企业座谈会及增量政策出台的信号分析与影响评估</w:t>
      </w:r>
    </w:p>
    <w:p>
      <w:pPr>
        <w:spacing w:line="560" w:lineRule="exact"/>
      </w:pPr>
      <w:r>
        <w:rPr>
          <w:sz w:val="32"/>
        </w:rPr>
      </w:r>
    </w:p>
    <w:p>
      <w:pPr>
        <w:jc w:val="left"/>
        <w:spacing w:line="560" w:lineRule="exact"/>
      </w:pPr>
      <w:r>
        <w:rPr>
          <w:rFonts w:eastAsia="仿宋_GB2312"/>
          <w:rFonts w:ascii="仿宋_GB2312" w:hAnsi="仿宋_GB2312"/>
          <w:b w:val="0"/>
          <w:sz w:val="32"/>
        </w:rPr>
        <w:t>呈报领导：</w:t>
      </w:r>
    </w:p>
    <w:p>
      <w:pPr>
        <w:jc w:val="left"/>
        <w:ind w:firstLine="640"/>
        <w:spacing w:line="560" w:lineRule="exact"/>
      </w:pPr>
      <w:r>
        <w:rPr>
          <w:rFonts w:eastAsia="黑体"/>
          <w:rFonts w:ascii="黑体" w:hAnsi="黑体"/>
          <w:b/>
          <w:sz w:val="32"/>
        </w:rPr>
        <w:t>一、事件背景</w:t>
      </w:r>
    </w:p>
    <w:p>
      <w:pPr>
        <w:jc w:val="left"/>
        <w:ind w:firstLine="640"/>
        <w:spacing w:line="560" w:lineRule="exact"/>
      </w:pPr>
      <w:r>
        <w:rPr>
          <w:rFonts w:eastAsia="仿宋_GB2312"/>
          <w:rFonts w:ascii="仿宋_GB2312" w:hAnsi="仿宋_GB2312"/>
          <w:b w:val="0"/>
          <w:sz w:val="32"/>
        </w:rPr>
        <w:t>2026年8月20日，国家发展改革委主任郑栅洁主持召开民营企业座谈会，这是继7月政治局会议部署下半年经济工作后，发改委在短短一个月内又一次与民营企业家面对面交流。特锐德电气、楚天科技、誉存科技、雷鸟创新、鄂尔多斯资源等5家来自不同行业、不同地区的民营企业代表参会。</w:t>
      </w:r>
    </w:p>
    <w:p>
      <w:pPr>
        <w:jc w:val="left"/>
        <w:ind w:firstLine="640"/>
        <w:spacing w:line="560" w:lineRule="exact"/>
      </w:pPr>
      <w:r>
        <w:rPr>
          <w:rFonts w:eastAsia="仿宋_GB2312"/>
          <w:rFonts w:ascii="仿宋_GB2312" w:hAnsi="仿宋_GB2312"/>
          <w:b w:val="0"/>
          <w:sz w:val="32"/>
        </w:rPr>
        <w:t>此次座谈会的召开时间点具有特殊意义。当前正处于“十五五”规划开局起步的关键窗口期，上半年经济数据呈现“动能向新、结构向优”的积极态势，但微观主体感受与宏观数据之间仍存在温差，民营企业投资信心和预期有待进一步提振。</w:t>
      </w:r>
    </w:p>
    <w:p>
      <w:pPr>
        <w:jc w:val="left"/>
        <w:ind w:firstLine="640"/>
        <w:spacing w:line="560" w:lineRule="exact"/>
      </w:pPr>
      <w:r>
        <w:rPr>
          <w:rFonts w:eastAsia="仿宋_GB2312"/>
          <w:rFonts w:ascii="仿宋_GB2312" w:hAnsi="仿宋_GB2312"/>
          <w:b w:val="0"/>
          <w:sz w:val="32"/>
        </w:rPr>
        <w:t>发改委在座谈会上明确释放了“充分发挥存量政策效能，及时谋划出台务实管用的增量政策”的强烈信号，并强调将协同推进“十五五”规划重大工程和“六张网”规划建设。这一表态被市场解读为新一轮稳增长政策即将出台的前奏。</w:t>
      </w:r>
    </w:p>
    <w:p>
      <w:pPr>
        <w:jc w:val="left"/>
        <w:ind w:firstLine="640"/>
        <w:spacing w:line="560" w:lineRule="exact"/>
      </w:pPr>
      <w:r>
        <w:rPr>
          <w:rFonts w:eastAsia="黑体"/>
          <w:rFonts w:ascii="黑体" w:hAnsi="黑体"/>
          <w:b/>
          <w:sz w:val="32"/>
        </w:rPr>
        <w:t>二、座谈会核心内容</w:t>
      </w:r>
    </w:p>
    <w:p>
      <w:pPr>
        <w:jc w:val="left"/>
        <w:ind w:firstLine="640"/>
        <w:spacing w:line="560" w:lineRule="exact"/>
      </w:pPr>
      <w:r>
        <w:rPr>
          <w:rFonts w:eastAsia="楷体_GB2312"/>
          <w:rFonts w:ascii="楷体_GB2312" w:hAnsi="楷体_GB2312"/>
          <w:b w:val="0"/>
          <w:sz w:val="32"/>
        </w:rPr>
        <w:t>（一）参会企业反馈</w:t>
      </w:r>
    </w:p>
    <w:p>
      <w:pPr>
        <w:jc w:val="left"/>
        <w:ind w:firstLine="640"/>
        <w:spacing w:line="560" w:lineRule="exact"/>
      </w:pPr>
      <w:r>
        <w:rPr>
          <w:rFonts w:eastAsia="仿宋_GB2312"/>
          <w:rFonts w:ascii="仿宋_GB2312" w:hAnsi="仿宋_GB2312"/>
          <w:b w:val="0"/>
          <w:sz w:val="32"/>
        </w:rPr>
        <w:t>参会企业普遍反映，当前经济呈现“动能向新、结构向优”的发展态势，企业发展信心坚定。但与此同时，企业也围绕五个方面提出了具体诉求：一是优化投资服务，提升项目审批效率；二是促进国企民企协同发展，打破隐性壁垒；三是规范市场竞争秩序，营造公平竞争环境；四是拓宽融资渠道，降低融资成本；五是支持传统产业改造升级，加大技改政策支持力度。</w:t>
      </w:r>
    </w:p>
    <w:p>
      <w:pPr>
        <w:jc w:val="left"/>
        <w:ind w:firstLine="640"/>
        <w:spacing w:line="560" w:lineRule="exact"/>
      </w:pPr>
      <w:r>
        <w:rPr>
          <w:rFonts w:eastAsia="楷体_GB2312"/>
          <w:rFonts w:ascii="楷体_GB2312" w:hAnsi="楷体_GB2312"/>
          <w:b w:val="0"/>
          <w:sz w:val="32"/>
        </w:rPr>
        <w:t>（二）发改委表态要点</w:t>
      </w:r>
    </w:p>
    <w:p>
      <w:pPr>
        <w:jc w:val="left"/>
        <w:ind w:firstLine="640"/>
        <w:spacing w:line="560" w:lineRule="exact"/>
      </w:pPr>
      <w:r>
        <w:rPr>
          <w:rFonts w:eastAsia="仿宋_GB2312"/>
          <w:rFonts w:ascii="仿宋_GB2312" w:hAnsi="仿宋_GB2312"/>
          <w:b w:val="0"/>
          <w:sz w:val="32"/>
        </w:rPr>
        <w:t>郑栅洁主任在座谈会上作了系统性回应，明确了以下政策方向：第一，充分发挥存量政策效能，确保已出台的各项稳增长政策落地见效；第二，及时谋划出台务实管用的增量政策，形成“存量+增量”双政策组合拳；第三，协同推进“十五五”规划重大工程和“六张网”规划建设，为民营企业参与国家重大项目建设创造更多机会；第四，持续优化营商环境，切实解决企业反映的融资、准入、竞争等突出问题。</w:t>
      </w:r>
    </w:p>
    <w:p>
      <w:pPr>
        <w:jc w:val="left"/>
        <w:ind w:firstLine="640"/>
        <w:spacing w:line="560" w:lineRule="exact"/>
      </w:pPr>
      <w:r>
        <w:rPr>
          <w:rFonts w:eastAsia="黑体"/>
          <w:rFonts w:ascii="黑体" w:hAnsi="黑体"/>
          <w:b/>
          <w:sz w:val="32"/>
        </w:rPr>
        <w:t>三、存量政策成效与增量政策展望</w:t>
      </w:r>
    </w:p>
    <w:p>
      <w:pPr>
        <w:jc w:val="left"/>
        <w:ind w:firstLine="640"/>
        <w:spacing w:line="560" w:lineRule="exact"/>
      </w:pPr>
      <w:r>
        <w:rPr>
          <w:rFonts w:eastAsia="楷体_GB2312"/>
          <w:rFonts w:ascii="楷体_GB2312" w:hAnsi="楷体_GB2312"/>
          <w:b w:val="0"/>
          <w:sz w:val="32"/>
        </w:rPr>
        <w:t>（一）存量政策落地情况</w:t>
      </w:r>
    </w:p>
    <w:p>
      <w:pPr>
        <w:jc w:val="left"/>
        <w:ind w:firstLine="640"/>
        <w:spacing w:line="560" w:lineRule="exact"/>
      </w:pPr>
      <w:r>
        <w:rPr>
          <w:rFonts w:eastAsia="仿宋_GB2312"/>
          <w:rFonts w:ascii="仿宋_GB2312" w:hAnsi="仿宋_GB2312"/>
          <w:b w:val="0"/>
          <w:sz w:val="32"/>
        </w:rPr>
        <w:t>今年以来，国家已出台一系列稳增长、促民营经济发展的政策措施。包括：促进民营经济发展壮大31条措施落地深化；减税降费政策持续发力；金融支持民营经济发展25条举措逐步见效；营商环境优化专项行动深入推进。从数据看，上半年民间投资同比增长3.2%，增速较一季度提高0.8个百分点，民营企业进出口总额增长5.6%，显示出存量政策正在逐步释放效能。</w:t>
      </w:r>
    </w:p>
    <w:p>
      <w:pPr>
        <w:jc w:val="left"/>
        <w:ind w:firstLine="640"/>
        <w:spacing w:line="560" w:lineRule="exact"/>
      </w:pPr>
      <w:r>
        <w:rPr>
          <w:rFonts w:eastAsia="楷体_GB2312"/>
          <w:rFonts w:ascii="楷体_GB2312" w:hAnsi="楷体_GB2312"/>
          <w:b w:val="0"/>
          <w:sz w:val="32"/>
        </w:rPr>
        <w:t>（二）增量政策方向预判</w:t>
      </w:r>
    </w:p>
    <w:p>
      <w:pPr>
        <w:jc w:val="left"/>
        <w:ind w:firstLine="640"/>
        <w:spacing w:line="560" w:lineRule="exact"/>
      </w:pPr>
      <w:r>
        <w:rPr>
          <w:rFonts w:eastAsia="仿宋_GB2312"/>
          <w:rFonts w:ascii="仿宋_GB2312" w:hAnsi="仿宋_GB2312"/>
          <w:b w:val="0"/>
          <w:sz w:val="32"/>
        </w:rPr>
        <w:t>根据座谈会释放的信号和当前经济形势，预计增量政策将聚焦以下方向：一是进一步放宽民间投资准入领域，特别是在基础设施、能源、交通等“六张网”建设领域；二是加大结构性货币政策工具对民营企业的支持力度，推动融资成本稳中有降；三是出台新一轮减税降费政策，重点减轻中小微企业负担；四是完善民营企业参与国家重大战略的机制，常态化召开民营企业座谈会；五是强化法治保障，推进民营经济促进法立法进程。</w:t>
      </w:r>
    </w:p>
    <w:p>
      <w:pPr>
        <w:jc w:val="left"/>
        <w:ind w:firstLine="640"/>
        <w:spacing w:line="560" w:lineRule="exact"/>
      </w:pPr>
      <w:r>
        <w:rPr>
          <w:rFonts w:eastAsia="楷体_GB2312"/>
          <w:rFonts w:ascii="楷体_GB2312" w:hAnsi="楷体_GB2312"/>
          <w:b w:val="0"/>
          <w:sz w:val="32"/>
        </w:rPr>
        <w:t>（三）“六张网”规划建设带来的民企机遇</w:t>
      </w:r>
    </w:p>
    <w:p>
      <w:pPr>
        <w:jc w:val="left"/>
        <w:ind w:firstLine="640"/>
        <w:spacing w:line="560" w:lineRule="exact"/>
      </w:pPr>
      <w:r>
        <w:rPr>
          <w:rFonts w:eastAsia="仿宋_GB2312"/>
          <w:rFonts w:ascii="仿宋_GB2312" w:hAnsi="仿宋_GB2312"/>
          <w:b w:val="0"/>
          <w:sz w:val="32"/>
        </w:rPr>
        <w:t>座谈会上强调的“六张网”规划建设，是“十五五”规划的重大工程，涵盖交通网、能源网、水利网、信息网、物流网和市政网。这六大网络建设投资规模巨大，预计将释放数十万亿元的市场空间。民营企业可在以下领域重点参与：新能源基础设施建设、数字经济和智慧城市、现代物流体系建设、生态环保和绿色产业等。</w:t>
      </w:r>
    </w:p>
    <w:p>
      <w:pPr>
        <w:jc w:val="left"/>
        <w:ind w:firstLine="640"/>
        <w:spacing w:line="560" w:lineRule="exact"/>
      </w:pPr>
      <w:r>
        <w:rPr>
          <w:rFonts w:eastAsia="黑体"/>
          <w:rFonts w:ascii="黑体" w:hAnsi="黑体"/>
          <w:b/>
          <w:sz w:val="32"/>
        </w:rPr>
        <w:t>四、对民营企业的影响分析</w:t>
      </w:r>
    </w:p>
    <w:p>
      <w:pPr>
        <w:jc w:val="left"/>
        <w:ind w:firstLine="640"/>
        <w:spacing w:line="560" w:lineRule="exact"/>
      </w:pPr>
      <w:r>
        <w:rPr>
          <w:rFonts w:eastAsia="楷体_GB2312"/>
          <w:rFonts w:ascii="楷体_GB2312" w:hAnsi="楷体_GB2312"/>
          <w:b w:val="0"/>
          <w:sz w:val="32"/>
        </w:rPr>
        <w:t>（一）融资环境有望改善</w:t>
      </w:r>
    </w:p>
    <w:p>
      <w:pPr>
        <w:jc w:val="left"/>
        <w:ind w:firstLine="640"/>
        <w:spacing w:line="560" w:lineRule="exact"/>
      </w:pPr>
      <w:r>
        <w:rPr>
          <w:rFonts w:eastAsia="仿宋_GB2312"/>
          <w:rFonts w:ascii="仿宋_GB2312" w:hAnsi="仿宋_GB2312"/>
          <w:b w:val="0"/>
          <w:sz w:val="32"/>
        </w:rPr>
        <w:t>座谈会重点回应了企业融资诉求，预计后续将出台针对性的金融支持政策。民营企业融资渠道有望进一步拓宽，融资成本有望稳中有降。特别是对科技型民营企业和制造业民营企业，或将获得更多结构性货币政策工具的支持。</w:t>
      </w:r>
    </w:p>
    <w:p>
      <w:pPr>
        <w:jc w:val="left"/>
        <w:ind w:firstLine="640"/>
        <w:spacing w:line="560" w:lineRule="exact"/>
      </w:pPr>
      <w:r>
        <w:rPr>
          <w:rFonts w:eastAsia="楷体_GB2312"/>
          <w:rFonts w:ascii="楷体_GB2312" w:hAnsi="楷体_GB2312"/>
          <w:b w:val="0"/>
          <w:sz w:val="32"/>
        </w:rPr>
        <w:t>（二）市场准入将更加开放</w:t>
      </w:r>
    </w:p>
    <w:p>
      <w:pPr>
        <w:jc w:val="left"/>
        <w:ind w:firstLine="640"/>
        <w:spacing w:line="560" w:lineRule="exact"/>
      </w:pPr>
      <w:r>
        <w:rPr>
          <w:rFonts w:eastAsia="仿宋_GB2312"/>
          <w:rFonts w:ascii="仿宋_GB2312" w:hAnsi="仿宋_GB2312"/>
          <w:b w:val="0"/>
          <w:sz w:val="32"/>
        </w:rPr>
        <w:t>发改委明确将协同推进“十五五”重大工程和“六张网”建设，这为民营企业参与国家重大项目建设打开了新的空间。预计后续将出台更多支持民间资本参与重大工程的具体措施，包括项目清单发布、投融资机制创新、收益分配机制完善等。</w:t>
      </w:r>
    </w:p>
    <w:p>
      <w:pPr>
        <w:jc w:val="left"/>
        <w:ind w:firstLine="640"/>
        <w:spacing w:line="560" w:lineRule="exact"/>
      </w:pPr>
      <w:r>
        <w:rPr>
          <w:rFonts w:eastAsia="楷体_GB2312"/>
          <w:rFonts w:ascii="楷体_GB2312" w:hAnsi="楷体_GB2312"/>
          <w:b w:val="0"/>
          <w:sz w:val="32"/>
        </w:rPr>
        <w:t>（三）竞争秩序更加规范</w:t>
      </w:r>
    </w:p>
    <w:p>
      <w:pPr>
        <w:jc w:val="left"/>
        <w:ind w:firstLine="640"/>
        <w:spacing w:line="560" w:lineRule="exact"/>
      </w:pPr>
      <w:r>
        <w:rPr>
          <w:rFonts w:eastAsia="仿宋_GB2312"/>
          <w:rFonts w:ascii="仿宋_GB2312" w:hAnsi="仿宋_GB2312"/>
          <w:b w:val="0"/>
          <w:sz w:val="32"/>
        </w:rPr>
        <w:t>企业反映的“破除隐性壁垒”“规范市场竞争秩序”等诉求，反映出民企对公平竞争环境的迫切期待。预计后续将出台反垄断、反不正当竞争等领域的细化措施，推动国企民企在更加公平的环境下竞争与合作。</w:t>
      </w:r>
    </w:p>
    <w:p>
      <w:pPr>
        <w:jc w:val="left"/>
        <w:ind w:firstLine="640"/>
        <w:spacing w:line="560" w:lineRule="exact"/>
      </w:pPr>
      <w:r>
        <w:rPr>
          <w:rFonts w:eastAsia="楷体_GB2312"/>
          <w:rFonts w:ascii="楷体_GB2312" w:hAnsi="楷体_GB2312"/>
          <w:b w:val="0"/>
          <w:sz w:val="32"/>
        </w:rPr>
        <w:t>（四）政策预期更加稳定</w:t>
      </w:r>
    </w:p>
    <w:p>
      <w:pPr>
        <w:jc w:val="left"/>
        <w:ind w:firstLine="640"/>
        <w:spacing w:line="560" w:lineRule="exact"/>
      </w:pPr>
      <w:r>
        <w:rPr>
          <w:rFonts w:eastAsia="仿宋_GB2312"/>
          <w:rFonts w:ascii="仿宋_GB2312" w:hAnsi="仿宋_GB2312"/>
          <w:b w:val="0"/>
          <w:sz w:val="32"/>
        </w:rPr>
        <w:t>常态化召开民营企业座谈会意味着政策沟通机制的制度化、规范化。这有助于稳定民营企业家的政策预期，增强投资信心，形成“政策沟通—诉求反馈—政策优化”的良性循环。</w:t>
      </w:r>
    </w:p>
    <w:p>
      <w:pPr>
        <w:jc w:val="left"/>
        <w:ind w:firstLine="640"/>
        <w:spacing w:line="560" w:lineRule="exact"/>
      </w:pPr>
      <w:r>
        <w:rPr>
          <w:rFonts w:eastAsia="黑体"/>
          <w:rFonts w:ascii="黑体" w:hAnsi="黑体"/>
          <w:b/>
          <w:sz w:val="32"/>
        </w:rPr>
        <w:t>五、行业经济影响评估</w:t>
      </w:r>
    </w:p>
    <w:p>
      <w:pPr>
        <w:jc w:val="left"/>
        <w:ind w:firstLine="640"/>
        <w:spacing w:line="560" w:lineRule="exact"/>
      </w:pPr>
      <w:r>
        <w:rPr>
          <w:rFonts w:eastAsia="仿宋_GB2312"/>
          <w:rFonts w:ascii="仿宋_GB2312" w:hAnsi="仿宋_GB2312"/>
          <w:b w:val="0"/>
          <w:sz w:val="32"/>
        </w:rPr>
        <w:t>此次座谈会释放的增量政策信号，预计将对多个行业产生积极影响：一是新能源和绿色产业，将受益于“能源网”和“十五五”能源规划的投资拉动；二是先进制造业和科技创新企业，将受益于融资环境改善和技术改造支持政策；三是基础设施建设和工程机械行业，将受益于“六张网”重大工程推进；四是数字经济领域，将受益于“信息网”和新型基础设施建设；五是现代物流和商贸流通行业，将受益于“物流网”规划建设。</w:t>
      </w:r>
    </w:p>
    <w:p>
      <w:pPr>
        <w:jc w:val="left"/>
        <w:ind w:firstLine="640"/>
        <w:spacing w:line="560" w:lineRule="exact"/>
      </w:pPr>
      <w:r>
        <w:rPr>
          <w:rFonts w:eastAsia="仿宋_GB2312"/>
          <w:rFonts w:ascii="仿宋_GB2312" w:hAnsi="仿宋_GB2312"/>
          <w:b w:val="0"/>
          <w:sz w:val="32"/>
        </w:rPr>
        <w:t>从时间维度看，预计2026年四季度至2027年上半年，增量政策将密集落地，对实体经济的拉动效应将在2027年逐步显现。资本市场方面，政策信号已对民营企业和相关板块形成积极提振。</w:t>
      </w:r>
    </w:p>
    <w:p>
      <w:pPr>
        <w:jc w:val="left"/>
        <w:ind w:firstLine="640"/>
        <w:spacing w:line="560" w:lineRule="exact"/>
      </w:pPr>
      <w:r>
        <w:rPr>
          <w:rFonts w:eastAsia="黑体"/>
          <w:rFonts w:ascii="黑体" w:hAnsi="黑体"/>
          <w:b/>
          <w:sz w:val="32"/>
        </w:rPr>
        <w:t>六、政策建议</w:t>
      </w:r>
    </w:p>
    <w:p>
      <w:pPr>
        <w:jc w:val="left"/>
        <w:ind w:firstLine="640"/>
        <w:spacing w:line="560" w:lineRule="exact"/>
      </w:pPr>
      <w:r>
        <w:rPr>
          <w:rFonts w:eastAsia="楷体_GB2312"/>
          <w:rFonts w:ascii="楷体_GB2312" w:hAnsi="楷体_GB2312"/>
          <w:b w:val="0"/>
          <w:sz w:val="32"/>
        </w:rPr>
        <w:t>（一）对企业的建议</w:t>
      </w:r>
    </w:p>
    <w:p>
      <w:pPr>
        <w:jc w:val="left"/>
        <w:ind w:firstLine="640"/>
        <w:spacing w:line="560" w:lineRule="exact"/>
      </w:pPr>
      <w:r>
        <w:rPr>
          <w:rFonts w:eastAsia="仿宋_GB2312"/>
          <w:rFonts w:ascii="仿宋_GB2312" w:hAnsi="仿宋_GB2312"/>
          <w:b w:val="0"/>
          <w:sz w:val="32"/>
        </w:rPr>
        <w:t>民营企业应密切关注增量政策出台节奏，提前做好项目储备和资金安排。重点关注“六张网”建设领域的机会清单，积极参与国家重大项目建设。同时，加强与政府部门的沟通对接，及时反映经营中的困难和诉求。</w:t>
      </w:r>
    </w:p>
    <w:p>
      <w:pPr>
        <w:jc w:val="left"/>
        <w:ind w:firstLine="640"/>
        <w:spacing w:line="560" w:lineRule="exact"/>
      </w:pPr>
      <w:r>
        <w:rPr>
          <w:rFonts w:eastAsia="楷体_GB2312"/>
          <w:rFonts w:ascii="楷体_GB2312" w:hAnsi="楷体_GB2312"/>
          <w:b w:val="0"/>
          <w:sz w:val="32"/>
        </w:rPr>
        <w:t>（二）对投资者的建议</w:t>
      </w:r>
    </w:p>
    <w:p>
      <w:pPr>
        <w:jc w:val="left"/>
        <w:ind w:firstLine="640"/>
        <w:spacing w:line="560" w:lineRule="exact"/>
      </w:pPr>
      <w:r>
        <w:rPr>
          <w:rFonts w:eastAsia="仿宋_GB2312"/>
          <w:rFonts w:ascii="仿宋_GB2312" w:hAnsi="仿宋_GB2312"/>
          <w:b w:val="0"/>
          <w:sz w:val="32"/>
        </w:rPr>
        <w:t>关注增量政策受益领域，特别是新能源、先进制造、数字经济等政策重点支持方向。同时关注民营经济促进法立法进程，以及相关配套政策的出台节奏，把握政策驱动的投资机会。</w:t>
      </w:r>
    </w:p>
    <w:p>
      <w:pPr>
        <w:jc w:val="left"/>
        <w:ind w:firstLine="640"/>
        <w:spacing w:line="560" w:lineRule="exact"/>
      </w:pPr>
      <w:r>
        <w:rPr>
          <w:rFonts w:eastAsia="楷体_GB2312"/>
          <w:rFonts w:ascii="楷体_GB2312" w:hAnsi="楷体_GB2312"/>
          <w:b w:val="0"/>
          <w:sz w:val="32"/>
        </w:rPr>
        <w:t>（三）对地方政府的工作建议</w:t>
      </w:r>
    </w:p>
    <w:p>
      <w:pPr>
        <w:jc w:val="left"/>
        <w:ind w:firstLine="640"/>
        <w:spacing w:line="560" w:lineRule="exact"/>
      </w:pPr>
      <w:r>
        <w:rPr>
          <w:rFonts w:eastAsia="仿宋_GB2312"/>
          <w:rFonts w:ascii="仿宋_GB2312" w:hAnsi="仿宋_GB2312"/>
          <w:b w:val="0"/>
          <w:sz w:val="32"/>
        </w:rPr>
        <w:t>建议地方政府做好以下工作：一是及时传达和解读国家增量政策精神，帮助企业吃透政策；二是建立常态化的民营企业座谈会机制，畅通政企沟通渠道；三是加快清理各类隐性壁垒，营造公平竞争的市场环境；四是配合国家“六张网”规划建设，做好地方项目储备和对接工作。</w:t>
      </w:r>
    </w:p>
    <w:p>
      <w:pPr>
        <w:spacing w:line="560" w:lineRule="exact"/>
      </w:pPr>
      <w:r>
        <w:rPr>
          <w:sz w:val="32"/>
        </w:rPr>
      </w:r>
    </w:p>
    <w:p>
      <w:pPr>
        <w:jc w:val="left"/>
        <w:ind w:firstLine="640"/>
        <w:spacing w:line="560" w:lineRule="exact"/>
      </w:pPr>
      <w:r>
        <w:rPr>
          <w:rFonts w:eastAsia="仿宋_GB2312"/>
          <w:rFonts w:ascii="仿宋_GB2312" w:hAnsi="仿宋_GB2312"/>
          <w:b w:val="0"/>
          <w:sz w:val="32"/>
        </w:rPr>
        <w:t>附件：1. 参会企业背景资料</w:t>
      </w:r>
    </w:p>
    <w:p>
      <w:pPr>
        <w:jc w:val="left"/>
        <w:ind w:firstLine="640"/>
        <w:spacing w:line="560" w:lineRule="exact"/>
      </w:pPr>
      <w:r>
        <w:rPr>
          <w:rFonts w:eastAsia="仿宋_GB2312"/>
          <w:rFonts w:ascii="仿宋_GB2312" w:hAnsi="仿宋_GB2312"/>
          <w:b w:val="0"/>
          <w:sz w:val="32"/>
        </w:rPr>
        <w:t>附件：2. “十五五”规划重大工程及“六张网”建设清单</w:t>
      </w:r>
    </w:p>
    <w:p>
      <w:pPr>
        <w:spacing w:line="560" w:lineRule="exact"/>
      </w:pPr>
      <w:r>
        <w:rPr>
          <w:sz w:val="32"/>
        </w:rPr>
      </w:r>
    </w:p>
    <w:p>
      <w:pPr>
        <w:jc w:val="right"/>
        <w:spacing w:line="560" w:lineRule="exact"/>
      </w:pPr>
      <w:r>
        <w:rPr>
          <w:rFonts w:eastAsia="仿宋_GB2312"/>
          <w:rFonts w:ascii="仿宋_GB2312" w:hAnsi="仿宋_GB2312"/>
          <w:b w:val="0"/>
          <w:sz w:val="32"/>
        </w:rPr>
        <w:t>政策研究课题组</w:t>
      </w:r>
    </w:p>
    <w:p>
      <w:pPr>
        <w:jc w:val="right"/>
        <w:spacing w:line="560" w:lineRule="exact"/>
      </w:pPr>
      <w:r>
        <w:rPr>
          <w:rFonts w:eastAsia="仿宋_GB2312"/>
          <w:rFonts w:ascii="仿宋_GB2312" w:hAnsi="仿宋_GB2312"/>
          <w:b w:val="0"/>
          <w:sz w:val="32"/>
        </w:rPr>
        <w:t>2026年8月24日</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