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72"/>
          <w:szCs w:val="72"/>
        </w:rPr>
        <w:t xml:space="preserve">SPIDER</w:t>
      </w:r>
    </w:p>
    <w:p>
      <w:pPr>
        <w:spacing w:before="200"/>
        <w:jc w:val="center"/>
      </w:pPr>
      <w:r>
        <w:rPr>
          <w:rFonts w:ascii="Arial" w:cs="Arial" w:eastAsia="Arial" w:hAnsi="Arial"/>
          <w:color w:val="2E75B6"/>
          <w:sz w:val="32"/>
          <w:szCs w:val="32"/>
        </w:rPr>
        <w:t xml:space="preserve">Strategic Plan &amp; Competitive Intelligence</w:t>
      </w:r>
    </w:p>
    <w:p>
      <w:pPr>
        <w:pBdr>
          <w:bottom w:val="single" w:color="2E75B6" w:sz="6" w:space="12"/>
        </w:pBdr>
        <w:spacing w:before="400" w:after="400"/>
        <w:jc w:val="center"/>
      </w:pPr>
    </w:p>
    <w:p>
      <w:pPr>
        <w:spacing w:before="200"/>
        <w:jc w:val="center"/>
      </w:pPr>
      <w:r>
        <w:rPr>
          <w:rFonts w:ascii="Arial" w:cs="Arial" w:eastAsia="Arial" w:hAnsi="Arial"/>
          <w:color w:val="666666"/>
          <w:sz w:val="26"/>
          <w:szCs w:val="26"/>
        </w:rPr>
        <w:t xml:space="preserve">AI-Native Back-Office for European SMBs</w:t>
      </w:r>
    </w:p>
    <w:p>
      <w:pPr>
        <w:spacing w:before="600"/>
      </w:pPr>
    </w:p>
    <w:p>
      <w:pPr>
        <w:jc w:val="center"/>
      </w:pPr>
      <w:r>
        <w:rPr>
          <w:rFonts w:ascii="Arial" w:cs="Arial" w:eastAsia="Arial" w:hAnsi="Arial"/>
          <w:color w:val="666666"/>
          <w:sz w:val="22"/>
          <w:szCs w:val="22"/>
        </w:rPr>
        <w:t xml:space="preserve">Drakkar Group  |  February 2026</w:t>
      </w:r>
    </w:p>
    <w:p>
      <w:pPr>
        <w:spacing w:before="120"/>
        <w:jc w:val="center"/>
      </w:pPr>
      <w:r>
        <w:rPr>
          <w:rFonts w:ascii="Arial" w:cs="Arial" w:eastAsia="Arial" w:hAnsi="Arial"/>
          <w:i/>
          <w:iCs/>
          <w:color w:val="666666"/>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before="400"/>
      </w:pPr>
      <w:r>
        <w:t xml:space="preserve">1. Executive Summary</w:t>
      </w:r>
    </w:p>
    <w:p>
      <w:pPr>
        <w:spacing w:after="160" w:line="276"/>
      </w:pPr>
      <w:r>
        <w:rPr>
          <w:rFonts w:ascii="Arial" w:cs="Arial" w:eastAsia="Arial" w:hAnsi="Arial"/>
          <w:sz w:val="22"/>
          <w:szCs w:val="22"/>
        </w:rPr>
        <w:t xml:space="preserve">Spider is an AI-native back-office service targeting European SMBs (1M–15M€ revenue). Instead of selling software tools to business owners and expecting them to configure automation, Spider uses AI internally and sells the finished result: managed business operations at a fraction of the cost of a human employee.</w:t>
      </w:r>
    </w:p>
    <w:p>
      <w:pPr>
        <w:spacing w:after="160" w:line="276"/>
      </w:pPr>
      <w:r>
        <w:rPr>
          <w:rFonts w:ascii="Arial" w:cs="Arial" w:eastAsia="Arial" w:hAnsi="Arial"/>
          <w:sz w:val="22"/>
          <w:szCs w:val="22"/>
        </w:rPr>
        <w:t xml:space="preserve">The model rests on a fundamental insight validated by Y Combinator, Foundation Capital, 8VC, and Bain: the next wave of AI companies will not sell software licenses. They will use AI to deliver professional services at software-like margins (65–80%), replacing the $4.6 trillion global services market one function at a time.</w:t>
      </w:r>
    </w:p>
    <w:p>
      <w:pPr>
        <w:spacing w:after="160" w:line="276"/>
      </w:pPr>
      <w:r>
        <w:rPr>
          <w:rFonts w:ascii="Arial" w:cs="Arial" w:eastAsia="Arial" w:hAnsi="Arial"/>
          <w:sz w:val="22"/>
          <w:szCs w:val="22"/>
        </w:rPr>
        <w:t xml:space="preserve">Spider is not a startup to build from scratch. It is a strategic extension of Drakkar Group, a profitable 25-person digital transformation agency with 5 years of ERP deployments, direct access to SMB operational data, and deep business process knowledge across industrial and distribution verticals. Drakkar is the laboratory. Spider is the product that emerges from operations.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6F5" w:val="clear"/>
            <w:tcMar>
              <w:top w:type="dxa" w:w="160"/>
              <w:left w:type="dxa" w:w="200"/>
              <w:bottom w:type="dxa" w:w="160"/>
              <w:right w:type="dxa" w:w="200"/>
            </w:tcMar>
          </w:tcPr>
          <w:p>
            <w:pPr>
              <w:jc w:val="center"/>
            </w:pPr>
            <w:r>
              <w:rPr>
                <w:rFonts w:ascii="Arial" w:cs="Arial" w:eastAsia="Arial" w:hAnsi="Arial"/>
                <w:b/>
                <w:bCs/>
                <w:color w:val="2E75B6"/>
                <w:sz w:val="28"/>
                <w:szCs w:val="28"/>
              </w:rPr>
              <w:t xml:space="preserve">$8B → $50B</w:t>
            </w:r>
          </w:p>
          <w:p>
            <w:pPr>
              <w:jc w:val="center"/>
            </w:pPr>
            <w:r>
              <w:rPr>
                <w:rFonts w:ascii="Arial" w:cs="Arial" w:eastAsia="Arial" w:hAnsi="Arial"/>
                <w:color w:val="666666"/>
                <w:sz w:val="18"/>
                <w:szCs w:val="18"/>
              </w:rPr>
              <w:t xml:space="preserve">AI agent market 2025–2030</w:t>
            </w:r>
          </w:p>
        </w:tc>
        <w:tc>
          <w:tcPr>
            <w:tcW w:type="dxa" w:w="3120"/>
            <w:tcBorders>
              <w:top w:val="none" w:color="FFFFFF" w:sz="0"/>
              <w:left w:val="none" w:color="FFFFFF" w:sz="0"/>
              <w:bottom w:val="none" w:color="FFFFFF" w:sz="0"/>
              <w:right w:val="none" w:color="FFFFFF" w:sz="0"/>
            </w:tcBorders>
            <w:shd w:fill="D6E6F5" w:val="clear"/>
            <w:tcMar>
              <w:top w:type="dxa" w:w="160"/>
              <w:left w:type="dxa" w:w="200"/>
              <w:bottom w:type="dxa" w:w="160"/>
              <w:right w:type="dxa" w:w="200"/>
            </w:tcMar>
          </w:tcPr>
          <w:p>
            <w:pPr>
              <w:jc w:val="center"/>
            </w:pPr>
            <w:r>
              <w:rPr>
                <w:rFonts w:ascii="Arial" w:cs="Arial" w:eastAsia="Arial" w:hAnsi="Arial"/>
                <w:b/>
                <w:bCs/>
                <w:color w:val="2E75B6"/>
                <w:sz w:val="28"/>
                <w:szCs w:val="28"/>
              </w:rPr>
              <w:t xml:space="preserve">~10%</w:t>
            </w:r>
          </w:p>
          <w:p>
            <w:pPr>
              <w:jc w:val="center"/>
            </w:pPr>
            <w:r>
              <w:rPr>
                <w:rFonts w:ascii="Arial" w:cs="Arial" w:eastAsia="Arial" w:hAnsi="Arial"/>
                <w:color w:val="666666"/>
                <w:sz w:val="18"/>
                <w:szCs w:val="18"/>
              </w:rPr>
              <w:t xml:space="preserve">French SMB AI adoption</w:t>
            </w:r>
          </w:p>
        </w:tc>
        <w:tc>
          <w:tcPr>
            <w:tcW w:type="dxa" w:w="3120"/>
            <w:tcBorders>
              <w:top w:val="none" w:color="FFFFFF" w:sz="0"/>
              <w:left w:val="none" w:color="FFFFFF" w:sz="0"/>
              <w:bottom w:val="none" w:color="FFFFFF" w:sz="0"/>
              <w:right w:val="none" w:color="FFFFFF" w:sz="0"/>
            </w:tcBorders>
            <w:shd w:fill="D6E6F5" w:val="clear"/>
            <w:tcMar>
              <w:top w:type="dxa" w:w="160"/>
              <w:left w:type="dxa" w:w="200"/>
              <w:bottom w:type="dxa" w:w="160"/>
              <w:right w:type="dxa" w:w="200"/>
            </w:tcMar>
          </w:tcPr>
          <w:p>
            <w:pPr>
              <w:jc w:val="center"/>
            </w:pPr>
            <w:r>
              <w:rPr>
                <w:rFonts w:ascii="Arial" w:cs="Arial" w:eastAsia="Arial" w:hAnsi="Arial"/>
                <w:b/>
                <w:bCs/>
                <w:color w:val="2E75B6"/>
                <w:sz w:val="28"/>
                <w:szCs w:val="28"/>
              </w:rPr>
              <w:t xml:space="preserve">0</w:t>
            </w:r>
          </w:p>
          <w:p>
            <w:pPr>
              <w:jc w:val="center"/>
            </w:pPr>
            <w:r>
              <w:rPr>
                <w:rFonts w:ascii="Arial" w:cs="Arial" w:eastAsia="Arial" w:hAnsi="Arial"/>
                <w:color w:val="666666"/>
                <w:sz w:val="18"/>
                <w:szCs w:val="18"/>
              </w:rPr>
              <w:t xml:space="preserve">Direct competitors in niche</w:t>
            </w:r>
          </w:p>
        </w:tc>
      </w:tr>
    </w:tbl>
    <w:p>
      <w:pPr>
        <w:spacing w:before="100"/>
      </w:pPr>
    </w:p>
    <w:p>
      <w:pPr>
        <w:pStyle w:val="Heading1"/>
        <w:spacing w:before="400"/>
      </w:pPr>
      <w:r>
        <w:t xml:space="preserve">2. The Thesis: SaaS Is Dead, Service Is the Product</w:t>
      </w:r>
    </w:p>
    <w:p>
      <w:pPr>
        <w:pStyle w:val="Heading2"/>
      </w:pPr>
      <w:r>
        <w:t xml:space="preserve">2.1 The Macro Shift</w:t>
      </w:r>
    </w:p>
    <w:p>
      <w:pPr>
        <w:spacing w:after="160" w:line="276"/>
      </w:pPr>
      <w:r>
        <w:rPr>
          <w:rFonts w:ascii="Arial" w:cs="Arial" w:eastAsia="Arial" w:hAnsi="Arial"/>
          <w:sz w:val="22"/>
          <w:szCs w:val="22"/>
        </w:rPr>
        <w:t xml:space="preserve">Three converging forces are reshaping the software industry. First, Y Combinator’s Spring 2026 Request for Startups explicitly calls for “AI-Native Agencies”: companies that use AI internally to deliver finished outcomes at software-like margins rather than selling tools. Second, Foundation Capital’s “Service as Software” thesis identifies a $4.6 trillion opportunity where AI replaces both software licenses and the salaries of people who operate them. Third, 8VC’s Joe Lonsdale (Palantir co-founder) describes an “AI Services Wave” that follows the Palantir playbook: embed with clients, build domain ontology, then productize.</w:t>
      </w:r>
    </w:p>
    <w:p>
      <w:pPr>
        <w:pStyle w:val="Heading2"/>
      </w:pPr>
      <w:r>
        <w:t xml:space="preserve">2.2 The Core Principle</w:t>
      </w:r>
    </w:p>
    <w:p>
      <w:pPr>
        <w:spacing w:after="160" w:line="276"/>
      </w:pPr>
      <w:r>
        <w:rPr>
          <w:rFonts w:ascii="Arial" w:cs="Arial" w:eastAsia="Arial" w:hAnsi="Arial"/>
          <w:sz w:val="22"/>
          <w:szCs w:val="22"/>
        </w:rPr>
        <w:t xml:space="preserve">Do not sell software to help clients do work. Use software internally and sell the finished result at 10–100x the margin of manual delivery.</w:t>
      </w:r>
    </w:p>
    <w:p>
      <w:pPr>
        <w:spacing w:after="160" w:line="276"/>
      </w:pPr>
      <w:r>
        <w:rPr>
          <w:rFonts w:ascii="Arial" w:cs="Arial" w:eastAsia="Arial" w:hAnsi="Arial"/>
          <w:sz w:val="22"/>
          <w:szCs w:val="22"/>
        </w:rPr>
        <w:t xml:space="preserve">A traditional consulting firm charges €150/hour for a junior consultant to chase unpaid invoices. An AI-native service firm deploys an agent that does the same work autonomously, supervised by a human, for €290/month. The client pays less. The provider earns more. The margin structure inverts entirely.</w:t>
      </w:r>
    </w:p>
    <w:p>
      <w:pPr>
        <w:pStyle w:val="Heading2"/>
      </w:pPr>
      <w:r>
        <w:t xml:space="preserve">2.3 The Palantir Blueprint</w:t>
      </w:r>
    </w:p>
    <w:p>
      <w:pPr>
        <w:spacing w:after="160" w:line="276"/>
      </w:pPr>
      <w:r>
        <w:rPr>
          <w:rFonts w:ascii="Arial" w:cs="Arial" w:eastAsia="Arial" w:hAnsi="Arial"/>
          <w:sz w:val="22"/>
          <w:szCs w:val="22"/>
        </w:rPr>
        <w:t xml:space="preserve">Palantir’s evolution from services to platform is the closest strategic analogue. For over a decade, Palantir deployed Forward Deployed Engineers who embedded with clients, understood their data, and built domain-specific ontologies. These ontologies became the Foundry platform. In December 2025, Palantir formalized a partnership with Accenture: Palantir provides the platform (license, $7.7M average contract), Accenture provides deployment at scale (2,000+ trained professionals). Two separate invoices. Two value types.</w:t>
      </w:r>
    </w:p>
    <w:p>
      <w:pPr>
        <w:spacing w:after="160" w:line="276"/>
      </w:pPr>
      <w:r>
        <w:rPr>
          <w:rFonts w:ascii="Arial" w:cs="Arial" w:eastAsia="Arial" w:hAnsi="Arial"/>
          <w:sz w:val="22"/>
          <w:szCs w:val="22"/>
        </w:rPr>
        <w:t xml:space="preserve">Spider follows the same sequence. Phase 1: Drakkar consultants (the FDEs) embed with clients and operate AI agents under supervision. Phase 2: The operational knowledge crystallizes into a platform. Phase 3: External partners deploy Spider, while Drakkar retains premium insider access.</w:t>
      </w:r>
    </w:p>
    <w:p>
      <w:r>
        <w:br w:type="page"/>
      </w:r>
    </w:p>
    <w:p>
      <w:pPr>
        <w:pStyle w:val="Heading1"/>
        <w:spacing w:before="400"/>
      </w:pPr>
      <w:r>
        <w:t xml:space="preserve">3. Competitive Landscape</w:t>
      </w:r>
    </w:p>
    <w:p>
      <w:pPr>
        <w:pStyle w:val="Heading2"/>
      </w:pPr>
      <w:r>
        <w:t xml:space="preserve">3.1 Market Structure: Crowded Extremes, Empty Middle</w:t>
      </w:r>
    </w:p>
    <w:p>
      <w:pPr>
        <w:spacing w:after="160" w:line="276"/>
      </w:pPr>
      <w:r>
        <w:rPr>
          <w:rFonts w:ascii="Arial" w:cs="Arial" w:eastAsia="Arial" w:hAnsi="Arial"/>
          <w:sz w:val="22"/>
          <w:szCs w:val="22"/>
        </w:rPr>
        <w:t xml:space="preserve">After benchmarking 30+ platforms across five categories, a structural gap emerges. At the top: expensive enterprise platforms ($45K+/year) with white-glove onboarding. At the bottom: DIY workflow builders ($9–37/month) requiring technical comfort. In the middle — where a non-technical SMB owner with 10–50 employees wants AI to just work — almost nothing exists.</w:t>
      </w:r>
    </w:p>
    <w:p>
      <w:pPr>
        <w:pStyle w:val="Heading3"/>
      </w:pPr>
      <w:r>
        <w:t xml:space="preserve">AI Business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300"/>
        <w:gridCol w:w="1500"/>
        <w:gridCol w:w="1300"/>
        <w:gridCol w:w="18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Pricing</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Free 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Funding</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Weakness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Dust.tt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€29/user/mo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Scale-ups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$21.5M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recommendation engine, no SMB 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Lindy 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$29–$199/mo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400 credits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Individuals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DIY builder, confusing credits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OpenAI Frontier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Enterprise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Enterprise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available to SMBs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MS 365 Copilot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$21/user/mo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ecosystem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Microsoft-only, no agents</w:t>
            </w:r>
          </w:p>
        </w:tc>
      </w:tr>
    </w:tbl>
    <w:p>
      <w:pPr>
        <w:spacing w:before="100"/>
      </w:pPr>
    </w:p>
    <w:p>
      <w:pPr>
        <w:pStyle w:val="Heading3"/>
      </w:pPr>
      <w:r>
        <w:t xml:space="preserve">Workflow Automation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300"/>
        <w:gridCol w:w="1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Entry Price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Free 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Integrations</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AI Agents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Weakness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Zapier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$19.99/mo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tasks/mo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must define what to automate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Make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1,000 credits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Steep learning curve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n8n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self-host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Developer-focused</w:t>
            </w:r>
          </w:p>
        </w:tc>
      </w:tr>
    </w:tbl>
    <w:p>
      <w:pPr>
        <w:spacing w:before="100"/>
      </w:pPr>
    </w:p>
    <w:p>
      <w:pPr>
        <w:pStyle w:val="Heading3"/>
      </w:pPr>
      <w:r>
        <w:t xml:space="preserve">“AI Employees” (Managed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15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Pricing</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Funding</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Issue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11x.ai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SDR (Alice)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~$45K/year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Enterprise-only, ~$2,500/positive reply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Artisan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BDR (Ava)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~$2K/mo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churn, hallucination issues admitted by CEO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Sintra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AI Helpers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Unclear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ERP integration, no business ontology</w:t>
            </w:r>
          </w:p>
        </w:tc>
      </w:tr>
    </w:tbl>
    <w:p>
      <w:pPr>
        <w:spacing w:before="100"/>
      </w:pPr>
    </w:p>
    <w:p>
      <w:pPr>
        <w:pStyle w:val="Heading3"/>
      </w:pPr>
      <w:r>
        <w:t xml:space="preserve">French/European Ecosystem</w:t>
      </w:r>
    </w:p>
    <w:p>
      <w:pPr>
        <w:spacing w:after="160" w:line="276"/>
      </w:pPr>
      <w:r>
        <w:rPr>
          <w:rFonts w:ascii="Arial" w:cs="Arial" w:eastAsia="Arial" w:hAnsi="Arial"/>
          <w:sz w:val="22"/>
          <w:szCs w:val="22"/>
        </w:rPr>
        <w:t xml:space="preserve">France now hosts 1,114 AI startups with €16B total raised, yet only ~10% of French SMBs actively use AI. Key players remain vertical: Pennylane (accounting, $200M raised), Axonaut (SMB ERP, MCP connector launched Jan 2026 but read-only), Mistral AI (foundation models, €14B valuation), H Company (autonomous agents, $220M seed, enterprise-only). None operates managed AI agents for PME back-offices.</w:t>
      </w:r>
    </w:p>
    <w:p>
      <w:pPr>
        <w:pStyle w:val="Heading2"/>
      </w:pPr>
      <w:r>
        <w:t xml:space="preserve">3.2 The Five Gaps Nobody Fills</w:t>
      </w:r>
    </w:p>
    <w:p>
      <w:pPr>
        <w:pStyle w:val="ListParagraph"/>
        <w:numPr>
          <w:ilvl w:val="0"/>
          <w:numId w:val="2"/>
        </w:numPr>
        <w:spacing w:after="80" w:line="276"/>
      </w:pPr>
      <w:r>
        <w:rPr>
          <w:rFonts w:ascii="Arial" w:cs="Arial" w:eastAsia="Arial" w:hAnsi="Arial"/>
          <w:b/>
          <w:bCs/>
          <w:sz w:val="22"/>
          <w:szCs w:val="22"/>
        </w:rPr>
        <w:t xml:space="preserve">No truly free, full-featured business assistant. </w:t>
      </w:r>
      <w:r>
        <w:rPr>
          <w:rFonts w:ascii="Arial" w:cs="Arial" w:eastAsia="Arial" w:hAnsi="Arial"/>
          <w:sz w:val="22"/>
          <w:szCs w:val="22"/>
        </w:rPr>
        <w:t xml:space="preserve">Dust charges €29/user/month. Lindy’s free tier is useless. HubSpot’s free CRM has no AI.</w:t>
      </w:r>
    </w:p>
    <w:p>
      <w:pPr>
        <w:pStyle w:val="ListParagraph"/>
        <w:numPr>
          <w:ilvl w:val="0"/>
          <w:numId w:val="2"/>
        </w:numPr>
        <w:spacing w:after="80" w:line="276"/>
      </w:pPr>
      <w:r>
        <w:rPr>
          <w:rFonts w:ascii="Arial" w:cs="Arial" w:eastAsia="Arial" w:hAnsi="Arial"/>
          <w:b/>
          <w:bCs/>
          <w:sz w:val="22"/>
          <w:szCs w:val="22"/>
        </w:rPr>
        <w:t xml:space="preserve">No platform proactively recommends agents. </w:t>
      </w:r>
      <w:r>
        <w:rPr>
          <w:rFonts w:ascii="Arial" w:cs="Arial" w:eastAsia="Arial" w:hAnsi="Arial"/>
          <w:sz w:val="22"/>
          <w:szCs w:val="22"/>
        </w:rPr>
        <w:t xml:space="preserve">Every product requires users to discover and deploy automation themselves.</w:t>
      </w:r>
    </w:p>
    <w:p>
      <w:pPr>
        <w:pStyle w:val="ListParagraph"/>
        <w:numPr>
          <w:ilvl w:val="0"/>
          <w:numId w:val="2"/>
        </w:numPr>
        <w:spacing w:after="80" w:line="276"/>
      </w:pPr>
      <w:r>
        <w:rPr>
          <w:rFonts w:ascii="Arial" w:cs="Arial" w:eastAsia="Arial" w:hAnsi="Arial"/>
          <w:b/>
          <w:bCs/>
          <w:sz w:val="22"/>
          <w:szCs w:val="22"/>
        </w:rPr>
        <w:t xml:space="preserve">No per-agent pricing with free trials. </w:t>
      </w:r>
      <w:r>
        <w:rPr>
          <w:rFonts w:ascii="Arial" w:cs="Arial" w:eastAsia="Arial" w:hAnsi="Arial"/>
          <w:sz w:val="22"/>
          <w:szCs w:val="22"/>
        </w:rPr>
        <w:t xml:space="preserve">All competitors use per-seat subscriptions, opaque credits, or enterprise contracts.</w:t>
      </w:r>
    </w:p>
    <w:p>
      <w:pPr>
        <w:pStyle w:val="ListParagraph"/>
        <w:numPr>
          <w:ilvl w:val="0"/>
          <w:numId w:val="2"/>
        </w:numPr>
        <w:spacing w:after="80" w:line="276"/>
      </w:pPr>
      <w:r>
        <w:rPr>
          <w:rFonts w:ascii="Arial" w:cs="Arial" w:eastAsia="Arial" w:hAnsi="Arial"/>
          <w:b/>
          <w:bCs/>
          <w:sz w:val="22"/>
          <w:szCs w:val="22"/>
        </w:rPr>
        <w:t xml:space="preserve">The “hire” metaphor is incomplete. </w:t>
      </w:r>
      <w:r>
        <w:rPr>
          <w:rFonts w:ascii="Arial" w:cs="Arial" w:eastAsia="Arial" w:hAnsi="Arial"/>
          <w:sz w:val="22"/>
          <w:szCs w:val="22"/>
        </w:rPr>
        <w:t xml:space="preserve">11x and Artisan name agents but don’t pair this with a recommending assistant or free trials.</w:t>
      </w:r>
    </w:p>
    <w:p>
      <w:pPr>
        <w:pStyle w:val="ListParagraph"/>
        <w:numPr>
          <w:ilvl w:val="0"/>
          <w:numId w:val="2"/>
        </w:numPr>
        <w:spacing w:after="80" w:line="276"/>
      </w:pPr>
      <w:r>
        <w:rPr>
          <w:rFonts w:ascii="Arial" w:cs="Arial" w:eastAsia="Arial" w:hAnsi="Arial"/>
          <w:b/>
          <w:bCs/>
          <w:sz w:val="22"/>
          <w:szCs w:val="22"/>
        </w:rPr>
        <w:t xml:space="preserve">Non-technical SMB owners remain underserved. </w:t>
      </w:r>
      <w:r>
        <w:rPr>
          <w:rFonts w:ascii="Arial" w:cs="Arial" w:eastAsia="Arial" w:hAnsi="Arial"/>
          <w:sz w:val="22"/>
          <w:szCs w:val="22"/>
        </w:rPr>
        <w:t xml:space="preserve">89% want AI. Almost nothing serves them without technical skill.</w:t>
      </w:r>
    </w:p>
    <w:p>
      <w:pPr>
        <w:pStyle w:val="Heading2"/>
      </w:pPr>
      <w:r>
        <w:t xml:space="preserve">3.3 Real Competition Is Not Tech</w:t>
      </w:r>
    </w:p>
    <w:p>
      <w:pPr>
        <w:spacing w:after="160" w:line="276"/>
      </w:pPr>
      <w:r>
        <w:rPr>
          <w:rFonts w:ascii="Arial" w:cs="Arial" w:eastAsia="Arial" w:hAnsi="Arial"/>
          <w:sz w:val="22"/>
          <w:szCs w:val="22"/>
        </w:rPr>
        <w:t xml:space="preserve">Spider’s actual competitors are not software platforms. They are the executive assistant (€2,500–3,500/month, 35h/week, quits every 2–3 years), the accounting firm (€150–250/hour, could do more but doesn’t), BPO/outsourced office managers (€35–50/hour, linear scaling), and the biggest competitor of all: doing nothing (80% of PMEs).</w:t>
      </w:r>
    </w:p>
    <w:p>
      <w:r>
        <w:br w:type="page"/>
      </w:r>
    </w:p>
    <w:p>
      <w:pPr>
        <w:pStyle w:val="Heading1"/>
        <w:spacing w:before="400"/>
      </w:pPr>
      <w:r>
        <w:t xml:space="preserve">4. Spider: Vision &amp; Architecture</w:t>
      </w:r>
    </w:p>
    <w:p>
      <w:pPr>
        <w:pStyle w:val="Heading2"/>
      </w:pPr>
      <w:r>
        <w:t xml:space="preserve">4.1 What Spider Is</w:t>
      </w:r>
    </w:p>
    <w:p>
      <w:pPr>
        <w:spacing w:after="160" w:line="276"/>
      </w:pPr>
      <w:r>
        <w:rPr>
          <w:rFonts w:ascii="Arial" w:cs="Arial" w:eastAsia="Arial" w:hAnsi="Arial"/>
          <w:sz w:val="22"/>
          <w:szCs w:val="22"/>
        </w:rPr>
        <w:t xml:space="preserve">Spider is an AI-native back-office service for European SMBs. The owner gets a managed service: invoices get chased, procurement gets optimized, campaigns get managed, reporting gets generated. Under the hood, AI agents handle the volume while Drakkar humans supervise and handle edge cases.</w:t>
      </w:r>
    </w:p>
    <w:p>
      <w:pPr>
        <w:spacing w:after="160" w:line="276"/>
      </w:pPr>
      <w:r>
        <w:rPr>
          <w:rFonts w:ascii="Arial" w:cs="Arial" w:eastAsia="Arial" w:hAnsi="Arial"/>
          <w:sz w:val="22"/>
          <w:szCs w:val="22"/>
        </w:rPr>
        <w:t xml:space="preserve">The owner does not see agents, workflows, or dashboards. They see results.</w:t>
      </w:r>
    </w:p>
    <w:p>
      <w:pPr>
        <w:pStyle w:val="Heading2"/>
      </w:pPr>
      <w:r>
        <w:t xml:space="preserve">4.2 Target Market</w:t>
      </w:r>
    </w:p>
    <w:p>
      <w:pPr>
        <w:spacing w:after="160" w:line="276"/>
      </w:pPr>
      <w:r>
        <w:rPr>
          <w:rFonts w:ascii="Arial" w:cs="Arial" w:eastAsia="Arial" w:hAnsi="Arial"/>
          <w:sz w:val="22"/>
          <w:szCs w:val="22"/>
        </w:rPr>
        <w:t xml:space="preserve">French PMEs and ETIs between €1M and €15M revenue. Typically 10–50 employees. Running on Odoo, Sage, Pennylane, or Excel. No CTO, no IT department. The CEO/founder makes all decisions. They face the complexity of a larger company with the budget of a small one.</w:t>
      </w:r>
    </w:p>
    <w:p>
      <w:pPr>
        <w:pStyle w:val="Heading2"/>
      </w:pPr>
      <w:r>
        <w:t xml:space="preserve">4.3 Long-Term Architecture: Two Layers</w:t>
      </w:r>
    </w:p>
    <w:p>
      <w:pPr>
        <w:spacing w:after="160" w:line="276"/>
      </w:pPr>
      <w:r>
        <w:rPr>
          <w:rFonts w:ascii="Arial" w:cs="Arial" w:eastAsia="Arial" w:hAnsi="Arial"/>
          <w:b/>
          <w:bCs/>
          <w:sz w:val="22"/>
          <w:szCs w:val="22"/>
        </w:rPr>
        <w:t xml:space="preserve">Layer 1 — The Assistant (Reactive). </w:t>
      </w:r>
      <w:r>
        <w:rPr>
          <w:rFonts w:ascii="Arial" w:cs="Arial" w:eastAsia="Arial" w:hAnsi="Arial"/>
          <w:sz w:val="22"/>
          <w:szCs w:val="22"/>
        </w:rPr>
        <w:t xml:space="preserve">A free AI chatbot connected to business data (ERP, accounting, CRM). The owner asks questions. The assistant responds, analyzes, diagnoses. Crucially, it is the commercial engine: it reveals problems the owner did not know they had, then recommends specific agents to solve them.</w:t>
      </w:r>
    </w:p>
    <w:p>
      <w:pPr>
        <w:spacing w:after="160" w:line="276"/>
      </w:pPr>
      <w:r>
        <w:rPr>
          <w:rFonts w:ascii="Arial" w:cs="Arial" w:eastAsia="Arial" w:hAnsi="Arial"/>
          <w:b/>
          <w:bCs/>
          <w:sz w:val="22"/>
          <w:szCs w:val="22"/>
        </w:rPr>
        <w:t xml:space="preserve">Layer 2 — The Agents (Proactive). </w:t>
      </w:r>
      <w:r>
        <w:rPr>
          <w:rFonts w:ascii="Arial" w:cs="Arial" w:eastAsia="Arial" w:hAnsi="Arial"/>
          <w:sz w:val="22"/>
          <w:szCs w:val="22"/>
        </w:rPr>
        <w:t xml:space="preserve">Autonomous workers operating in the background. Agent Relance chases unpaid invoices. Agent Campagnes manages advertising campaigns. Agent Achats optimizes procurement. Each has a “salary” (€190–990/month) and a 14-day free trial. The owner does not interact with them. They receive results.</w:t>
      </w:r>
    </w:p>
    <w:p>
      <w:pPr>
        <w:spacing w:after="160" w:line="276"/>
      </w:pPr>
      <w:r>
        <w:rPr>
          <w:rFonts w:ascii="Arial" w:cs="Arial" w:eastAsia="Arial" w:hAnsi="Arial"/>
          <w:sz w:val="22"/>
          <w:szCs w:val="22"/>
        </w:rPr>
        <w:t xml:space="preserve">This distinction — reactive assistant vs. proactive agents — is the architectural innovation no competitor has implemented. It maps directly to how SMB owners think: “I ask my assistant a question” vs. “My employee handles this without being asked.”</w:t>
      </w:r>
    </w:p>
    <w:p>
      <w:pPr>
        <w:pStyle w:val="Heading2"/>
      </w:pPr>
      <w:r>
        <w:t xml:space="preserve">4.4 The Flywheel</w:t>
      </w:r>
    </w:p>
    <w:p>
      <w:pPr>
        <w:spacing w:after="160" w:line="276"/>
      </w:pPr>
      <w:r>
        <w:rPr>
          <w:rFonts w:ascii="Arial" w:cs="Arial" w:eastAsia="Arial" w:hAnsi="Arial"/>
          <w:sz w:val="22"/>
          <w:szCs w:val="22"/>
        </w:rPr>
        <w:t xml:space="preserve">Each deployed agent generates more data for the assistant. More data enables better diagnostics. Better diagnostics drive more agent recommendations. More agents generate more data. The system compounds with each client, each mission, each interaction. This is the structural advantage that tool-based competitors cannot replicate.</w:t>
      </w:r>
    </w:p>
    <w:p>
      <w:r>
        <w:br w:type="page"/>
      </w:r>
    </w:p>
    <w:p>
      <w:pPr>
        <w:pStyle w:val="Heading1"/>
        <w:spacing w:before="400"/>
      </w:pPr>
      <w:r>
        <w:t xml:space="preserve">5. Structural Advantages</w:t>
      </w:r>
    </w:p>
    <w:p>
      <w:pPr>
        <w:pStyle w:val="Heading2"/>
      </w:pPr>
      <w:r>
        <w:t xml:space="preserve">5.1 Operational Ontology (The Real Moat)</w:t>
      </w:r>
    </w:p>
    <w:p>
      <w:pPr>
        <w:spacing w:after="160" w:line="276"/>
      </w:pPr>
      <w:r>
        <w:rPr>
          <w:rFonts w:ascii="Arial" w:cs="Arial" w:eastAsia="Arial" w:hAnsi="Arial"/>
          <w:sz w:val="22"/>
          <w:szCs w:val="22"/>
        </w:rPr>
        <w:t xml:space="preserve">Dust has ex-OpenAI engineers. Lindy has $50M in funding. Zapier has 8,000 connectors. None of them have spent 5 years installing ERPs in French PMEs. None know that payment reminder #2 should go at J+15 in construction, that a media plan in outdoor advertising requires different validation steps than a purchase order in food distribution, or that a Sage export has different quirks than an Odoo export.</w:t>
      </w:r>
    </w:p>
    <w:p>
      <w:pPr>
        <w:spacing w:after="160" w:line="276"/>
      </w:pPr>
      <w:r>
        <w:rPr>
          <w:rFonts w:ascii="Arial" w:cs="Arial" w:eastAsia="Arial" w:hAnsi="Arial"/>
          <w:sz w:val="22"/>
          <w:szCs w:val="22"/>
        </w:rPr>
        <w:t xml:space="preserve">This business ontology cannot be bought or engineered in a lab. It can only be built mission by mission, client by client, edge case by edge case. Drakkar has a 5-year head start.</w:t>
      </w:r>
    </w:p>
    <w:p>
      <w:pPr>
        <w:pStyle w:val="Heading2"/>
      </w:pPr>
      <w:r>
        <w:t xml:space="preserve">5.2 Deep ERP Integration</w:t>
      </w:r>
    </w:p>
    <w:p>
      <w:pPr>
        <w:spacing w:after="160" w:line="276"/>
      </w:pPr>
      <w:r>
        <w:rPr>
          <w:rFonts w:ascii="Arial" w:cs="Arial" w:eastAsia="Arial" w:hAnsi="Arial"/>
          <w:sz w:val="22"/>
          <w:szCs w:val="22"/>
        </w:rPr>
        <w:t xml:space="preserve">Spider connects to real ERP systems (Odoo, Sage, Pennylane) because Drakkar deploys these systems professionally. It reads actual invoices, purchase orders, and account balances — not Gmail threads and Slack messages. This is a fundamentally different and more valuable data layer than any competitor accesses.</w:t>
      </w:r>
    </w:p>
    <w:p>
      <w:pPr>
        <w:pStyle w:val="Heading2"/>
      </w:pPr>
      <w:r>
        <w:t xml:space="preserve">5.3 Human-in-the-Loop Supervision</w:t>
      </w:r>
    </w:p>
    <w:p>
      <w:pPr>
        <w:spacing w:after="160" w:line="276"/>
      </w:pPr>
      <w:r>
        <w:rPr>
          <w:rFonts w:ascii="Arial" w:cs="Arial" w:eastAsia="Arial" w:hAnsi="Arial"/>
          <w:sz w:val="22"/>
          <w:szCs w:val="22"/>
        </w:rPr>
        <w:t xml:space="preserve">Edge cases, ambiguities, and disputes trigger human intervention from Drakkar professionals. This provides the safety net that makes adoption possible for risk-averse SMB owners. The Bench collapse (600 employees fired overnight, 12,000 customers stranded) demonstrated that pure automation without human oversight destroys trust catastrophically.</w:t>
      </w:r>
    </w:p>
    <w:p>
      <w:pPr>
        <w:pStyle w:val="Heading2"/>
      </w:pPr>
      <w:r>
        <w:t xml:space="preserve">5.4 Self-Funded R&amp;D</w:t>
      </w:r>
    </w:p>
    <w:p>
      <w:pPr>
        <w:spacing w:after="160" w:line="276"/>
      </w:pPr>
      <w:r>
        <w:rPr>
          <w:rFonts w:ascii="Arial" w:cs="Arial" w:eastAsia="Arial" w:hAnsi="Arial"/>
          <w:sz w:val="22"/>
          <w:szCs w:val="22"/>
        </w:rPr>
        <w:t xml:space="preserve">Drakkar generates €1.5M/year in revenue. Spider development is funded by consulting margins, not venture capital. No pressure to scale before understanding. No premature product launches. No misalignment between investor timelines and operational learning curves.</w:t>
      </w:r>
    </w:p>
    <w:p>
      <w:pPr>
        <w:pStyle w:val="Heading2"/>
      </w:pPr>
      <w:r>
        <w:t xml:space="preserve">5.5 The Palantir Parallel</w:t>
      </w:r>
    </w:p>
    <w:p>
      <w:pPr>
        <w:spacing w:after="160" w:line="276"/>
      </w:pPr>
      <w:r>
        <w:rPr>
          <w:rFonts w:ascii="Arial" w:cs="Arial" w:eastAsia="Arial" w:hAnsi="Arial"/>
          <w:sz w:val="22"/>
          <w:szCs w:val="22"/>
        </w:rPr>
        <w:t xml:space="preserve">Palantir did not win with better algorithms. They won because Forward Deployed Engineers were embedded with clients for months, building the domain ontology that became the Foundry platform. Drakkar consultants serve as Spider’s FDEs. Every client project is simultaneously a revenue-generating engagement and an R&amp;D mission for the platform.</w:t>
      </w:r>
    </w:p>
    <w:p>
      <w:r>
        <w:br w:type="page"/>
      </w:r>
    </w:p>
    <w:p>
      <w:pPr>
        <w:pStyle w:val="Heading1"/>
        <w:spacing w:before="400"/>
      </w:pPr>
      <w:r>
        <w:t xml:space="preserve">6. Core Hypotheses</w:t>
      </w:r>
    </w:p>
    <w:p>
      <w:pPr>
        <w:spacing w:after="160" w:line="276"/>
      </w:pPr>
      <w:r>
        <w:rPr>
          <w:rFonts w:ascii="Arial" w:cs="Arial" w:eastAsia="Arial" w:hAnsi="Arial"/>
          <w:sz w:val="22"/>
          <w:szCs w:val="22"/>
        </w:rPr>
        <w:t xml:space="preserve">The strategy rests on six testable hypotheses. The execution plan is designed to invalidate the wrong ones quickly and double down on the right ones.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300"/>
        <w:gridCol w:w="2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Hypothesis</w:t>
            </w:r>
          </w:p>
        </w:tc>
        <w:tc>
          <w:tcPr>
            <w:tcW w:type="dxa" w:w="3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How We Test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Kill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H1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SMB owners will pay €500–2,000/mo for managed back-office operations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Sell to 5 Drakkar clients within 90 days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&lt; 3 clients convert, or &gt; 50% churn in 3 months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handles 50%+ of tasks with human supervision within 6 months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 AI/human ratio per process monthly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Ratio stays &lt; 40% AI after 6 months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H3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Clients expand from 1 to 2–3 processes within 6 months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Track unprompted expansion requests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&lt; 30% of clients request expansion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Operational ontology transfers across clients in same vertical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Measure onboarding time: Client 1 vs Client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 5 takes &gt; 60% of Client 1’s time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H5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The “hire an agent” metaphor converts better than “buy a subscription”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A/B test messaging in sales conversations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No measurable conversion difference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diagnostic converts at 40%+ to paid engagement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 diagnostic on 20 Odoo prospects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Conversion &lt; 20%</w:t>
            </w:r>
          </w:p>
        </w:tc>
      </w:tr>
    </w:tbl>
    <w:p>
      <w:r>
        <w:br w:type="page"/>
      </w:r>
    </w:p>
    <w:p>
      <w:pPr>
        <w:pStyle w:val="Heading1"/>
        <w:spacing w:before="400"/>
      </w:pPr>
      <w:r>
        <w:t xml:space="preserve">7. Execution Plan</w:t>
      </w:r>
    </w:p>
    <w:p>
      <w:pPr>
        <w:pStyle w:val="Heading2"/>
      </w:pPr>
      <w:r>
        <w:t xml:space="preserve">Phase 0: Jordan (Weeks 1–4)</w:t>
      </w:r>
    </w:p>
    <w:p>
      <w:pPr>
        <w:spacing w:after="160" w:line="276"/>
      </w:pPr>
      <w:r>
        <w:rPr>
          <w:rFonts w:ascii="Arial" w:cs="Arial" w:eastAsia="Arial" w:hAnsi="Arial"/>
          <w:sz w:val="22"/>
          <w:szCs w:val="22"/>
        </w:rPr>
        <w:t xml:space="preserve">Single client. Single process. Single price. Minimum viable everything.</w:t>
      </w:r>
    </w:p>
    <w:p>
      <w:pPr>
        <w:pStyle w:val="ListParagraph"/>
        <w:numPr>
          <w:ilvl w:val="0"/>
          <w:numId w:val="3"/>
        </w:numPr>
        <w:spacing w:after="80" w:line="276"/>
      </w:pPr>
      <w:r>
        <w:rPr>
          <w:rFonts w:ascii="Arial" w:cs="Arial" w:eastAsia="Arial" w:hAnsi="Arial"/>
          <w:b/>
          <w:bCs/>
          <w:sz w:val="22"/>
          <w:szCs w:val="22"/>
        </w:rPr>
        <w:t xml:space="preserve">Client: </w:t>
      </w:r>
      <w:r>
        <w:rPr>
          <w:rFonts w:ascii="Arial" w:cs="Arial" w:eastAsia="Arial" w:hAnsi="Arial"/>
          <w:sz w:val="22"/>
          <w:szCs w:val="22"/>
        </w:rPr>
        <w:t xml:space="preserve">Jordan (ComPrivée, outdoor advertising, €1.16M revenue, 800 campaigns/year)</w:t>
      </w:r>
    </w:p>
    <w:p>
      <w:pPr>
        <w:pStyle w:val="ListParagraph"/>
        <w:numPr>
          <w:ilvl w:val="0"/>
          <w:numId w:val="3"/>
        </w:numPr>
        <w:spacing w:after="80" w:line="276"/>
      </w:pPr>
      <w:r>
        <w:rPr>
          <w:rFonts w:ascii="Arial" w:cs="Arial" w:eastAsia="Arial" w:hAnsi="Arial"/>
          <w:b/>
          <w:bCs/>
          <w:sz w:val="22"/>
          <w:szCs w:val="22"/>
        </w:rPr>
        <w:t xml:space="preserve">Service: </w:t>
      </w:r>
      <w:r>
        <w:rPr>
          <w:rFonts w:ascii="Arial" w:cs="Arial" w:eastAsia="Arial" w:hAnsi="Arial"/>
          <w:sz w:val="22"/>
          <w:szCs w:val="22"/>
        </w:rPr>
        <w:t xml:space="preserve">Managed campaign operations. Jordan sends the brief, Drakkar/Spider handles everything.</w:t>
      </w:r>
    </w:p>
    <w:p>
      <w:pPr>
        <w:pStyle w:val="ListParagraph"/>
        <w:numPr>
          <w:ilvl w:val="0"/>
          <w:numId w:val="3"/>
        </w:numPr>
        <w:spacing w:after="80" w:line="276"/>
      </w:pPr>
      <w:r>
        <w:rPr>
          <w:rFonts w:ascii="Arial" w:cs="Arial" w:eastAsia="Arial" w:hAnsi="Arial"/>
          <w:b/>
          <w:bCs/>
          <w:sz w:val="22"/>
          <w:szCs w:val="22"/>
        </w:rPr>
        <w:t xml:space="preserve">Price: </w:t>
      </w:r>
      <w:r>
        <w:rPr>
          <w:rFonts w:ascii="Arial" w:cs="Arial" w:eastAsia="Arial" w:hAnsi="Arial"/>
          <w:sz w:val="22"/>
          <w:szCs w:val="22"/>
        </w:rPr>
        <w:t xml:space="preserve">€990/month, standard Drakkar invoice. First 30 days free.</w:t>
      </w:r>
    </w:p>
    <w:p>
      <w:pPr>
        <w:pStyle w:val="ListParagraph"/>
        <w:numPr>
          <w:ilvl w:val="0"/>
          <w:numId w:val="3"/>
        </w:numPr>
        <w:spacing w:after="80" w:line="276"/>
      </w:pPr>
      <w:r>
        <w:rPr>
          <w:rFonts w:ascii="Arial" w:cs="Arial" w:eastAsia="Arial" w:hAnsi="Arial"/>
          <w:b/>
          <w:bCs/>
          <w:sz w:val="22"/>
          <w:szCs w:val="22"/>
        </w:rPr>
        <w:t xml:space="preserve">Team: </w:t>
      </w:r>
      <w:r>
        <w:rPr>
          <w:rFonts w:ascii="Arial" w:cs="Arial" w:eastAsia="Arial" w:hAnsi="Arial"/>
          <w:sz w:val="22"/>
          <w:szCs w:val="22"/>
        </w:rPr>
        <w:t xml:space="preserve">1 Drakkar consultant + AI tools. No Spider branding. No separate entity.</w:t>
      </w:r>
    </w:p>
    <w:p>
      <w:pPr>
        <w:spacing w:after="160" w:line="276"/>
      </w:pPr>
      <w:r>
        <w:rPr>
          <w:rFonts w:ascii="Arial" w:cs="Arial" w:eastAsia="Arial" w:hAnsi="Arial"/>
          <w:b/>
          <w:bCs/>
          <w:sz w:val="22"/>
          <w:szCs w:val="22"/>
        </w:rPr>
        <w:t xml:space="preserve">Internal tracking: </w:t>
      </w:r>
      <w:r>
        <w:rPr>
          <w:rFonts w:ascii="Arial" w:cs="Arial" w:eastAsia="Arial" w:hAnsi="Arial"/>
          <w:sz w:val="22"/>
          <w:szCs w:val="22"/>
        </w:rPr>
        <w:t xml:space="preserve">Time per campaign (human vs AI), error rate, client satisfaction, unprompted expansion requests.</w:t>
      </w:r>
    </w:p>
    <w:p>
      <w:pPr>
        <w:pStyle w:val="Heading2"/>
      </w:pPr>
      <w:r>
        <w:t xml:space="preserve">Phase 1: 5 Drakkar Clients (Months 2–4)</w:t>
      </w:r>
    </w:p>
    <w:p>
      <w:pPr>
        <w:spacing w:after="160" w:line="276"/>
      </w:pPr>
      <w:r>
        <w:rPr>
          <w:rFonts w:ascii="Arial" w:cs="Arial" w:eastAsia="Arial" w:hAnsi="Arial"/>
          <w:sz w:val="22"/>
          <w:szCs w:val="22"/>
        </w:rPr>
        <w:t xml:space="preserve">Diversify processes and verticals. Each mission is simultaneously revenue and R&amp;D.</w:t>
      </w:r>
    </w:p>
    <w:p>
      <w:pPr>
        <w:pStyle w:val="ListParagraph"/>
        <w:numPr>
          <w:ilvl w:val="0"/>
          <w:numId w:val="3"/>
        </w:numPr>
        <w:spacing w:after="80" w:line="276"/>
      </w:pPr>
      <w:r>
        <w:rPr>
          <w:rFonts w:ascii="Arial" w:cs="Arial" w:eastAsia="Arial" w:hAnsi="Arial"/>
          <w:sz w:val="22"/>
          <w:szCs w:val="22"/>
        </w:rPr>
        <w:t xml:space="preserve">5 existing Drakkar clients across different functions: invoice chasing, procurement, campaign management, reporting, CRM maintenance</w:t>
      </w:r>
    </w:p>
    <w:p>
      <w:pPr>
        <w:pStyle w:val="ListParagraph"/>
        <w:numPr>
          <w:ilvl w:val="0"/>
          <w:numId w:val="3"/>
        </w:numPr>
        <w:spacing w:after="80" w:line="276"/>
      </w:pPr>
      <w:r>
        <w:rPr>
          <w:rFonts w:ascii="Arial" w:cs="Arial" w:eastAsia="Arial" w:hAnsi="Arial"/>
          <w:sz w:val="22"/>
          <w:szCs w:val="22"/>
        </w:rPr>
        <w:t xml:space="preserve">€500–2,000/month per client depending on complexity. All billed as Drakkar subscriptions.</w:t>
      </w:r>
    </w:p>
    <w:p>
      <w:pPr>
        <w:pStyle w:val="ListParagraph"/>
        <w:numPr>
          <w:ilvl w:val="0"/>
          <w:numId w:val="3"/>
        </w:numPr>
        <w:spacing w:after="80" w:line="276"/>
      </w:pPr>
      <w:r>
        <w:rPr>
          <w:rFonts w:ascii="Arial" w:cs="Arial" w:eastAsia="Arial" w:hAnsi="Arial"/>
          <w:sz w:val="22"/>
          <w:szCs w:val="22"/>
        </w:rPr>
        <w:t xml:space="preserve">Track three metrics: AI/human ratio, expansion requests, edge case frequency</w:t>
      </w:r>
    </w:p>
    <w:p>
      <w:pPr>
        <w:pStyle w:val="ListParagraph"/>
        <w:numPr>
          <w:ilvl w:val="0"/>
          <w:numId w:val="3"/>
        </w:numPr>
        <w:spacing w:after="80" w:line="276"/>
      </w:pPr>
      <w:r>
        <w:rPr>
          <w:rFonts w:ascii="Arial" w:cs="Arial" w:eastAsia="Arial" w:hAnsi="Arial"/>
          <w:sz w:val="22"/>
          <w:szCs w:val="22"/>
        </w:rPr>
        <w:t xml:space="preserve">Build shared internal knowledge base of business rules, edge cases, ERP-specific quirks</w:t>
      </w:r>
    </w:p>
    <w:p>
      <w:pPr>
        <w:pStyle w:val="Heading2"/>
      </w:pPr>
      <w:r>
        <w:t xml:space="preserve">Phase 2: Productization (Months 5–8)</w:t>
      </w:r>
    </w:p>
    <w:p>
      <w:pPr>
        <w:pStyle w:val="ListParagraph"/>
        <w:numPr>
          <w:ilvl w:val="0"/>
          <w:numId w:val="3"/>
        </w:numPr>
        <w:spacing w:after="80" w:line="276"/>
      </w:pPr>
      <w:r>
        <w:rPr>
          <w:rFonts w:ascii="Arial" w:cs="Arial" w:eastAsia="Arial" w:hAnsi="Arial"/>
          <w:sz w:val="22"/>
          <w:szCs w:val="22"/>
        </w:rPr>
        <w:t xml:space="preserve">Agents that work become packaged products with standardized onboarding</w:t>
      </w:r>
    </w:p>
    <w:p>
      <w:pPr>
        <w:pStyle w:val="ListParagraph"/>
        <w:numPr>
          <w:ilvl w:val="0"/>
          <w:numId w:val="3"/>
        </w:numPr>
        <w:spacing w:after="80" w:line="276"/>
      </w:pPr>
      <w:r>
        <w:rPr>
          <w:rFonts w:ascii="Arial" w:cs="Arial" w:eastAsia="Arial" w:hAnsi="Arial"/>
          <w:sz w:val="22"/>
          <w:szCs w:val="22"/>
        </w:rPr>
        <w:t xml:space="preserve">Lightweight supervision dashboard for clients</w:t>
      </w:r>
    </w:p>
    <w:p>
      <w:pPr>
        <w:pStyle w:val="ListParagraph"/>
        <w:numPr>
          <w:ilvl w:val="0"/>
          <w:numId w:val="3"/>
        </w:numPr>
        <w:spacing w:after="80" w:line="276"/>
      </w:pPr>
      <w:r>
        <w:rPr>
          <w:rFonts w:ascii="Arial" w:cs="Arial" w:eastAsia="Arial" w:hAnsi="Arial"/>
          <w:sz w:val="22"/>
          <w:szCs w:val="22"/>
        </w:rPr>
        <w:t xml:space="preserve">14-day free trials for additional agents</w:t>
      </w:r>
    </w:p>
    <w:p>
      <w:pPr>
        <w:pStyle w:val="ListParagraph"/>
        <w:numPr>
          <w:ilvl w:val="0"/>
          <w:numId w:val="3"/>
        </w:numPr>
        <w:spacing w:after="80" w:line="276"/>
      </w:pPr>
      <w:r>
        <w:rPr>
          <w:rFonts w:ascii="Arial" w:cs="Arial" w:eastAsia="Arial" w:hAnsi="Arial"/>
          <w:sz w:val="22"/>
          <w:szCs w:val="22"/>
        </w:rPr>
        <w:t xml:space="preserve">First non-Drakkar clients through referral</w:t>
      </w:r>
    </w:p>
    <w:p>
      <w:pPr>
        <w:pStyle w:val="ListParagraph"/>
        <w:numPr>
          <w:ilvl w:val="0"/>
          <w:numId w:val="3"/>
        </w:numPr>
        <w:spacing w:after="80" w:line="276"/>
      </w:pPr>
      <w:r>
        <w:rPr>
          <w:rFonts w:ascii="Arial" w:cs="Arial" w:eastAsia="Arial" w:hAnsi="Arial"/>
          <w:sz w:val="22"/>
          <w:szCs w:val="22"/>
        </w:rPr>
        <w:t xml:space="preserve">Spider branding begins. Separate pricing page. Clear catalog of 3–5 agents.</w:t>
      </w:r>
    </w:p>
    <w:p>
      <w:pPr>
        <w:pStyle w:val="Heading2"/>
      </w:pPr>
      <w:r>
        <w:t xml:space="preserve">Phase 3: The Assistant (Months 9–12)</w:t>
      </w:r>
    </w:p>
    <w:p>
      <w:pPr>
        <w:pStyle w:val="ListParagraph"/>
        <w:numPr>
          <w:ilvl w:val="0"/>
          <w:numId w:val="3"/>
        </w:numPr>
        <w:spacing w:after="80" w:line="276"/>
      </w:pPr>
      <w:r>
        <w:rPr>
          <w:rFonts w:ascii="Arial" w:cs="Arial" w:eastAsia="Arial" w:hAnsi="Arial"/>
          <w:sz w:val="22"/>
          <w:szCs w:val="22"/>
        </w:rPr>
        <w:t xml:space="preserve">Free assistant connected to Odoo, analyzing client data, identifying gaps</w:t>
      </w:r>
    </w:p>
    <w:p>
      <w:pPr>
        <w:pStyle w:val="ListParagraph"/>
        <w:numPr>
          <w:ilvl w:val="0"/>
          <w:numId w:val="3"/>
        </w:numPr>
        <w:spacing w:after="80" w:line="276"/>
      </w:pPr>
      <w:r>
        <w:rPr>
          <w:rFonts w:ascii="Arial" w:cs="Arial" w:eastAsia="Arial" w:hAnsi="Arial"/>
          <w:sz w:val="22"/>
          <w:szCs w:val="22"/>
        </w:rPr>
        <w:t xml:space="preserve">Proactive recommendations: identifies problems, prescribes agents</w:t>
      </w:r>
    </w:p>
    <w:p>
      <w:pPr>
        <w:pStyle w:val="ListParagraph"/>
        <w:numPr>
          <w:ilvl w:val="0"/>
          <w:numId w:val="3"/>
        </w:numPr>
        <w:spacing w:after="80" w:line="276"/>
      </w:pPr>
      <w:r>
        <w:rPr>
          <w:rFonts w:ascii="Arial" w:cs="Arial" w:eastAsia="Arial" w:hAnsi="Arial"/>
          <w:sz w:val="22"/>
          <w:szCs w:val="22"/>
        </w:rPr>
        <w:t xml:space="preserve">Assistant becomes primary sales channel</w:t>
      </w:r>
    </w:p>
    <w:p>
      <w:pPr>
        <w:pStyle w:val="ListParagraph"/>
        <w:numPr>
          <w:ilvl w:val="0"/>
          <w:numId w:val="3"/>
        </w:numPr>
        <w:spacing w:after="80" w:line="276"/>
      </w:pPr>
      <w:r>
        <w:rPr>
          <w:rFonts w:ascii="Arial" w:cs="Arial" w:eastAsia="Arial" w:hAnsi="Arial"/>
          <w:sz w:val="22"/>
          <w:szCs w:val="22"/>
        </w:rPr>
        <w:t xml:space="preserve">Credit system for margin protection (invisible to client)</w:t>
      </w:r>
    </w:p>
    <w:p>
      <w:pPr>
        <w:pStyle w:val="Heading2"/>
      </w:pPr>
      <w:r>
        <w:t xml:space="preserve">Phase 4: Platform &amp; Partners (Year 2)</w:t>
      </w:r>
    </w:p>
    <w:p>
      <w:pPr>
        <w:pStyle w:val="ListParagraph"/>
        <w:numPr>
          <w:ilvl w:val="0"/>
          <w:numId w:val="3"/>
        </w:numPr>
        <w:spacing w:after="80" w:line="276"/>
      </w:pPr>
      <w:r>
        <w:rPr>
          <w:rFonts w:ascii="Arial" w:cs="Arial" w:eastAsia="Arial" w:hAnsi="Arial"/>
          <w:sz w:val="22"/>
          <w:szCs w:val="22"/>
        </w:rPr>
        <w:t xml:space="preserve">Certify external partners (Odoo integrators, digital agencies, accounting firms) to deploy Spider</w:t>
      </w:r>
    </w:p>
    <w:p>
      <w:pPr>
        <w:pStyle w:val="ListParagraph"/>
        <w:numPr>
          <w:ilvl w:val="0"/>
          <w:numId w:val="3"/>
        </w:numPr>
        <w:spacing w:after="80" w:line="276"/>
      </w:pPr>
      <w:r>
        <w:rPr>
          <w:rFonts w:ascii="Arial" w:cs="Arial" w:eastAsia="Arial" w:hAnsi="Arial"/>
          <w:sz w:val="22"/>
          <w:szCs w:val="22"/>
        </w:rPr>
        <w:t xml:space="preserve">Drakkar retains premium partner status with insider roadmap access</w:t>
      </w:r>
    </w:p>
    <w:p>
      <w:pPr>
        <w:pStyle w:val="ListParagraph"/>
        <w:numPr>
          <w:ilvl w:val="0"/>
          <w:numId w:val="3"/>
        </w:numPr>
        <w:spacing w:after="80" w:line="276"/>
      </w:pPr>
      <w:r>
        <w:rPr>
          <w:rFonts w:ascii="Arial" w:cs="Arial" w:eastAsia="Arial" w:hAnsi="Arial"/>
          <w:sz w:val="22"/>
          <w:szCs w:val="22"/>
        </w:rPr>
        <w:t xml:space="preserve">Spider becomes separate entity if traction warrants</w:t>
      </w:r>
    </w:p>
    <w:p>
      <w:pPr>
        <w:pStyle w:val="ListParagraph"/>
        <w:numPr>
          <w:ilvl w:val="0"/>
          <w:numId w:val="3"/>
        </w:numPr>
        <w:spacing w:after="80" w:line="276"/>
      </w:pPr>
      <w:r>
        <w:rPr>
          <w:rFonts w:ascii="Arial" w:cs="Arial" w:eastAsia="Arial" w:hAnsi="Arial"/>
          <w:sz w:val="22"/>
          <w:szCs w:val="22"/>
        </w:rPr>
        <w:t xml:space="preserve">Revenue model: platform license (recurring) + partner deployment fees</w:t>
      </w:r>
    </w:p>
    <w:p>
      <w:r>
        <w:br w:type="page"/>
      </w:r>
    </w:p>
    <w:p>
      <w:pPr>
        <w:pStyle w:val="Heading1"/>
        <w:spacing w:before="400"/>
      </w:pPr>
      <w:r>
        <w:t xml:space="preserve">8. Financial Framework</w:t>
      </w:r>
    </w:p>
    <w:p>
      <w:pPr>
        <w:pStyle w:val="Heading2"/>
      </w:pPr>
      <w:r>
        <w:t xml:space="preserve">8.1 Unit Economics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 1 (Human-Heavy)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 3 (AI-Heavy)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Avg Revenue / Client /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€1,500–2,500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Human Time / Client / Month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15–20 hours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3–5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AI Compute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€150–300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30–40%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65–80%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AI / Human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 AI / 80% Human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 AI / 20% Human</w:t>
            </w:r>
          </w:p>
        </w:tc>
      </w:tr>
    </w:tbl>
    <w:p>
      <w:pPr>
        <w:spacing w:before="100"/>
      </w:pPr>
    </w:p>
    <w:p>
      <w:pPr>
        <w:pStyle w:val="Heading2"/>
      </w:pPr>
      <w:r>
        <w:t xml:space="preserve">8.2 Revenue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2220"/>
        <w:gridCol w:w="1800"/>
        <w:gridCol w:w="160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Period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Clients</w:t>
            </w:r>
          </w:p>
        </w:tc>
        <w:tc>
          <w:tcPr>
            <w:tcW w:type="dxa" w:w="22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Avg MRR/Client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Monthly Rev</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Annual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€36–60K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Month 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8–12</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€10–14K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€120–170K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20–30</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€30–45K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€360–540K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Month 24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80–150</w:t>
            </w:r>
          </w:p>
        </w:tc>
        <w:tc>
          <w:tcPr>
            <w:tcW w:type="dxa" w:w="2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€1,800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€144–270K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€1.7–3.2M</w:t>
            </w:r>
          </w:p>
        </w:tc>
      </w:tr>
    </w:tbl>
    <w:p>
      <w:pPr>
        <w:spacing w:before="100"/>
      </w:pPr>
    </w:p>
    <w:p>
      <w:pPr>
        <w:pStyle w:val="Heading2"/>
      </w:pPr>
      <w:r>
        <w:t xml:space="preserve">8.3 Jordan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0"/>
        <w:gridCol w:w="1750"/>
        <w:gridCol w:w="1760"/>
        <w:gridCol w:w="176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Option</w:t>
            </w:r>
          </w:p>
        </w:tc>
        <w:tc>
          <w:tcPr>
            <w:tcW w:type="dxa" w:w="17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Monthly Cost</w:t>
            </w:r>
          </w:p>
        </w:tc>
        <w:tc>
          <w:tcPr>
            <w:tcW w:type="dxa" w:w="17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Hours Saved</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Availability</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Scaling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Part-time assistant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35h/week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Hire another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BPO service</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€2–4K</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~100h</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Business hours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Linear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DIY (Zapier + ChatGPT)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€50–200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Variable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it works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Owner maintains</w:t>
            </w:r>
          </w:p>
        </w:tc>
      </w:tr>
      <w:tr>
        <w:tc>
          <w:tcPr>
            <w:tcW w:type="dxa" w:w="2340"/>
            <w:tcBorders>
              <w:top w:val="single" w:color="CCCCCC" w:sz="1"/>
              <w:left w:val="single" w:color="CCCCCC" w:sz="1"/>
              <w:bottom w:val="single" w:color="CCCCCC" w:sz="1"/>
              <w:right w:val="single" w:color="CCCCCC" w:sz="1"/>
            </w:tcBorders>
            <w:shd w:fill="D6E6F5" w:val="clear"/>
            <w:tcMar>
              <w:top w:type="dxa" w:w="80"/>
              <w:left w:type="dxa" w:w="120"/>
              <w:bottom w:type="dxa" w:w="80"/>
              <w:right w:type="dxa" w:w="120"/>
            </w:tcMar>
          </w:tcPr>
          <w:p>
            <w:pPr>
              <w:spacing w:after="40"/>
            </w:pPr>
            <w:r>
              <w:rPr>
                <w:rFonts w:ascii="Arial" w:cs="Arial" w:eastAsia="Arial" w:hAnsi="Arial"/>
                <w:b/>
                <w:bCs/>
                <w:sz w:val="20"/>
                <w:szCs w:val="20"/>
              </w:rPr>
              <w:t xml:space="preserve">Spider</w:t>
            </w:r>
          </w:p>
        </w:tc>
        <w:tc>
          <w:tcPr>
            <w:tcW w:type="dxa" w:w="1750"/>
            <w:tcBorders>
              <w:top w:val="single" w:color="CCCCCC" w:sz="1"/>
              <w:left w:val="single" w:color="CCCCCC" w:sz="1"/>
              <w:bottom w:val="single" w:color="CCCCCC" w:sz="1"/>
              <w:right w:val="single" w:color="CCCCCC" w:sz="1"/>
            </w:tcBorders>
            <w:shd w:fill="D6E6F5" w:val="clear"/>
            <w:tcMar>
              <w:top w:type="dxa" w:w="80"/>
              <w:left w:type="dxa" w:w="120"/>
              <w:bottom w:type="dxa" w:w="80"/>
              <w:right w:type="dxa" w:w="120"/>
            </w:tcMar>
          </w:tcPr>
          <w:p>
            <w:pPr>
              <w:spacing w:after="40"/>
            </w:pPr>
            <w:r>
              <w:rPr>
                <w:rFonts w:ascii="Arial" w:cs="Arial" w:eastAsia="Arial" w:hAnsi="Arial"/>
                <w:b/>
                <w:bCs/>
                <w:sz w:val="20"/>
                <w:szCs w:val="20"/>
              </w:rPr>
              <w:t xml:space="preserve">€990</w:t>
            </w:r>
          </w:p>
        </w:tc>
        <w:tc>
          <w:tcPr>
            <w:tcW w:type="dxa" w:w="1750"/>
            <w:tcBorders>
              <w:top w:val="single" w:color="CCCCCC" w:sz="1"/>
              <w:left w:val="single" w:color="CCCCCC" w:sz="1"/>
              <w:bottom w:val="single" w:color="CCCCCC" w:sz="1"/>
              <w:right w:val="single" w:color="CCCCCC" w:sz="1"/>
            </w:tcBorders>
            <w:shd w:fill="D6E6F5" w:val="clear"/>
            <w:tcMar>
              <w:top w:type="dxa" w:w="80"/>
              <w:left w:type="dxa" w:w="120"/>
              <w:bottom w:type="dxa" w:w="80"/>
              <w:right w:type="dxa" w:w="120"/>
            </w:tcMar>
          </w:tcPr>
          <w:p>
            <w:pPr>
              <w:spacing w:after="40"/>
            </w:pPr>
            <w:r>
              <w:rPr>
                <w:rFonts w:ascii="Arial" w:cs="Arial" w:eastAsia="Arial" w:hAnsi="Arial"/>
                <w:b/>
                <w:bCs/>
                <w:sz w:val="20"/>
                <w:szCs w:val="20"/>
              </w:rPr>
              <w:t xml:space="preserve">~120h equiv.</w:t>
            </w:r>
          </w:p>
        </w:tc>
        <w:tc>
          <w:tcPr>
            <w:tcW w:type="dxa" w:w="1760"/>
            <w:tcBorders>
              <w:top w:val="single" w:color="CCCCCC" w:sz="1"/>
              <w:left w:val="single" w:color="CCCCCC" w:sz="1"/>
              <w:bottom w:val="single" w:color="CCCCCC" w:sz="1"/>
              <w:right w:val="single" w:color="CCCCCC" w:sz="1"/>
            </w:tcBorders>
            <w:shd w:fill="D6E6F5" w:val="clear"/>
            <w:tcMar>
              <w:top w:type="dxa" w:w="80"/>
              <w:left w:type="dxa" w:w="120"/>
              <w:bottom w:type="dxa" w:w="80"/>
              <w:right w:type="dxa" w:w="120"/>
            </w:tcMar>
          </w:tcPr>
          <w:p>
            <w:pPr>
              <w:spacing w:after="40"/>
            </w:pPr>
            <w:r>
              <w:rPr>
                <w:rFonts w:ascii="Arial" w:cs="Arial" w:eastAsia="Arial" w:hAnsi="Arial"/>
                <w:b/>
                <w:bCs/>
                <w:sz w:val="20"/>
                <w:szCs w:val="20"/>
              </w:rPr>
              <w:t xml:space="preserve">24/7, supervised</w:t>
            </w:r>
          </w:p>
        </w:tc>
        <w:tc>
          <w:tcPr>
            <w:tcW w:type="dxa" w:w="1760"/>
            <w:tcBorders>
              <w:top w:val="single" w:color="CCCCCC" w:sz="1"/>
              <w:left w:val="single" w:color="CCCCCC" w:sz="1"/>
              <w:bottom w:val="single" w:color="CCCCCC" w:sz="1"/>
              <w:right w:val="single" w:color="CCCCCC" w:sz="1"/>
            </w:tcBorders>
            <w:shd w:fill="D6E6F5" w:val="clear"/>
            <w:tcMar>
              <w:top w:type="dxa" w:w="80"/>
              <w:left w:type="dxa" w:w="120"/>
              <w:bottom w:type="dxa" w:w="80"/>
              <w:right w:type="dxa" w:w="120"/>
            </w:tcMar>
          </w:tcPr>
          <w:p>
            <w:pPr>
              <w:spacing w:after="40"/>
            </w:pPr>
            <w:r>
              <w:rPr>
                <w:rFonts w:ascii="Arial" w:cs="Arial" w:eastAsia="Arial" w:hAnsi="Arial"/>
                <w:b/>
                <w:bCs/>
                <w:sz w:val="20"/>
                <w:szCs w:val="20"/>
              </w:rPr>
              <w:t xml:space="preserve">Add agents</w:t>
            </w:r>
          </w:p>
        </w:tc>
      </w:tr>
    </w:tbl>
    <w:p>
      <w:r>
        <w:br w:type="page"/>
      </w:r>
    </w:p>
    <w:p>
      <w:pPr>
        <w:pStyle w:val="Heading1"/>
        <w:spacing w:before="400"/>
      </w:pPr>
      <w:r>
        <w:t xml:space="preserve">9. Risk Analysis</w:t>
      </w:r>
    </w:p>
    <w:p>
      <w:pPr>
        <w:pStyle w:val="Heading2"/>
      </w:pPr>
      <w:r>
        <w:t xml:space="preserve">9.1 Execution Risks</w:t>
      </w:r>
    </w:p>
    <w:p>
      <w:pPr>
        <w:spacing w:after="160" w:line="276"/>
      </w:pPr>
      <w:r>
        <w:rPr>
          <w:rFonts w:ascii="Arial" w:cs="Arial" w:eastAsia="Arial" w:hAnsi="Arial"/>
          <w:b/>
          <w:bCs/>
          <w:sz w:val="22"/>
          <w:szCs w:val="22"/>
        </w:rPr>
        <w:t xml:space="preserve">Premature platformization. </w:t>
      </w:r>
      <w:r>
        <w:rPr>
          <w:rFonts w:ascii="Arial" w:cs="Arial" w:eastAsia="Arial" w:hAnsi="Arial"/>
          <w:sz w:val="22"/>
          <w:szCs w:val="22"/>
        </w:rPr>
        <w:t xml:space="preserve">The temptation to build dashboards and branded interfaces before validating delivery. Mitigation: Phase 0–1 is pure service billed as Drakkar with no product development beyond internal tools.</w:t>
      </w:r>
    </w:p>
    <w:p>
      <w:pPr>
        <w:spacing w:after="160" w:line="276"/>
      </w:pPr>
      <w:r>
        <w:rPr>
          <w:rFonts w:ascii="Arial" w:cs="Arial" w:eastAsia="Arial" w:hAnsi="Arial"/>
          <w:b/>
          <w:bCs/>
          <w:sz w:val="22"/>
          <w:szCs w:val="22"/>
        </w:rPr>
        <w:t xml:space="preserve">Human cost stagnation. </w:t>
      </w:r>
      <w:r>
        <w:rPr>
          <w:rFonts w:ascii="Arial" w:cs="Arial" w:eastAsia="Arial" w:hAnsi="Arial"/>
          <w:sz w:val="22"/>
          <w:szCs w:val="22"/>
        </w:rPr>
        <w:t xml:space="preserve">If AI/human ratio stays at 40/60 after 6 months, unit economics remain at consulting level. Mitigation: Track ratio weekly. Focus on narrow processes where AI gains are clearest before expanding scope.</w:t>
      </w:r>
    </w:p>
    <w:p>
      <w:pPr>
        <w:spacing w:after="160" w:line="276"/>
      </w:pPr>
      <w:r>
        <w:rPr>
          <w:rFonts w:ascii="Arial" w:cs="Arial" w:eastAsia="Arial" w:hAnsi="Arial"/>
          <w:b/>
          <w:bCs/>
          <w:sz w:val="22"/>
          <w:szCs w:val="22"/>
        </w:rPr>
        <w:t xml:space="preserve">Key person dependency. </w:t>
      </w:r>
      <w:r>
        <w:rPr>
          <w:rFonts w:ascii="Arial" w:cs="Arial" w:eastAsia="Arial" w:hAnsi="Arial"/>
          <w:sz w:val="22"/>
          <w:szCs w:val="22"/>
        </w:rPr>
        <w:t xml:space="preserve">If operational knowledge lives in one person’s head, it doesn’t scale. Mitigation: Document every business rule, edge case, and ERP quirk from day one. The knowledge base is the product.</w:t>
      </w:r>
    </w:p>
    <w:p>
      <w:pPr>
        <w:pStyle w:val="Heading2"/>
      </w:pPr>
      <w:r>
        <w:t xml:space="preserve">9.2 Market Risks</w:t>
      </w:r>
    </w:p>
    <w:p>
      <w:pPr>
        <w:spacing w:after="160" w:line="276"/>
      </w:pPr>
      <w:r>
        <w:rPr>
          <w:rFonts w:ascii="Arial" w:cs="Arial" w:eastAsia="Arial" w:hAnsi="Arial"/>
          <w:b/>
          <w:bCs/>
          <w:sz w:val="22"/>
          <w:szCs w:val="22"/>
        </w:rPr>
        <w:t xml:space="preserve">Incumbents move down-market. </w:t>
      </w:r>
      <w:r>
        <w:rPr>
          <w:rFonts w:ascii="Arial" w:cs="Arial" w:eastAsia="Arial" w:hAnsi="Arial"/>
          <w:sz w:val="22"/>
          <w:szCs w:val="22"/>
        </w:rPr>
        <w:t xml:space="preserve">Dust could launch an SMB tier. Zapier could add proactive recommendations. Mitigation: By the time they reach French industrial PMEs, Spider should have 12+ months of domain knowledge they cannot replicate.</w:t>
      </w:r>
    </w:p>
    <w:p>
      <w:pPr>
        <w:spacing w:after="160" w:line="276"/>
      </w:pPr>
      <w:r>
        <w:rPr>
          <w:rFonts w:ascii="Arial" w:cs="Arial" w:eastAsia="Arial" w:hAnsi="Arial"/>
          <w:b/>
          <w:bCs/>
          <w:sz w:val="22"/>
          <w:szCs w:val="22"/>
        </w:rPr>
        <w:t xml:space="preserve">AI capability plateau. </w:t>
      </w:r>
      <w:r>
        <w:rPr>
          <w:rFonts w:ascii="Arial" w:cs="Arial" w:eastAsia="Arial" w:hAnsi="Arial"/>
          <w:sz w:val="22"/>
          <w:szCs w:val="22"/>
        </w:rPr>
        <w:t xml:space="preserve">LLMs may not improve fast enough for full autonomy. Mitigation: The model assumes human supervision. AI handles 80% of volume; humans handle 20% of complexity. Better AI improves margins but is not required for viability.</w:t>
      </w:r>
    </w:p>
    <w:p>
      <w:pPr>
        <w:spacing w:after="160" w:line="276"/>
      </w:pPr>
      <w:r>
        <w:rPr>
          <w:rFonts w:ascii="Arial" w:cs="Arial" w:eastAsia="Arial" w:hAnsi="Arial"/>
          <w:b/>
          <w:bCs/>
          <w:sz w:val="22"/>
          <w:szCs w:val="22"/>
        </w:rPr>
        <w:t xml:space="preserve">SMB willingness to pay. </w:t>
      </w:r>
      <w:r>
        <w:rPr>
          <w:rFonts w:ascii="Arial" w:cs="Arial" w:eastAsia="Arial" w:hAnsi="Arial"/>
          <w:sz w:val="22"/>
          <w:szCs w:val="22"/>
        </w:rPr>
        <w:t xml:space="preserve">French PMEs are price-sensitive and slow to adopt. Mitigation: Free trials remove risk. Measurable ROI justifies spend. Comparison to employee cost makes pricing feel trivial.</w:t>
      </w:r>
    </w:p>
    <w:p>
      <w:pPr>
        <w:pStyle w:val="Heading2"/>
      </w:pPr>
      <w:r>
        <w:t xml:space="preserve">9.3 Strategic Risks</w:t>
      </w:r>
    </w:p>
    <w:p>
      <w:pPr>
        <w:spacing w:after="160" w:line="276"/>
      </w:pPr>
      <w:r>
        <w:rPr>
          <w:rFonts w:ascii="Arial" w:cs="Arial" w:eastAsia="Arial" w:hAnsi="Arial"/>
          <w:b/>
          <w:bCs/>
          <w:sz w:val="22"/>
          <w:szCs w:val="22"/>
        </w:rPr>
        <w:t xml:space="preserve">Drakkar distraction. </w:t>
      </w:r>
      <w:r>
        <w:rPr>
          <w:rFonts w:ascii="Arial" w:cs="Arial" w:eastAsia="Arial" w:hAnsi="Arial"/>
          <w:sz w:val="22"/>
          <w:szCs w:val="22"/>
        </w:rPr>
        <w:t xml:space="preserve">Spider could drain attention from core consulting. Mitigation: Phase 0–1 generates Drakkar revenue. Spider work IS consulting work with an R&amp;D overlay.</w:t>
      </w:r>
    </w:p>
    <w:p>
      <w:pPr>
        <w:spacing w:after="160" w:line="276"/>
      </w:pPr>
      <w:r>
        <w:rPr>
          <w:rFonts w:ascii="Arial" w:cs="Arial" w:eastAsia="Arial" w:hAnsi="Arial"/>
          <w:b/>
          <w:bCs/>
          <w:sz w:val="22"/>
          <w:szCs w:val="22"/>
        </w:rPr>
        <w:t xml:space="preserve">Partner misalignment. </w:t>
      </w:r>
      <w:r>
        <w:rPr>
          <w:rFonts w:ascii="Arial" w:cs="Arial" w:eastAsia="Arial" w:hAnsi="Arial"/>
          <w:sz w:val="22"/>
          <w:szCs w:val="22"/>
        </w:rPr>
        <w:t xml:space="preserve">Co-founders may disagree on Spider’s direction. Mitigation: Spider remains a Drakkar project through Phase 2. Separate entity creation only when traction justifies it, with governance terms defined in advance.</w:t>
      </w:r>
    </w:p>
    <w:p>
      <w:r>
        <w:br w:type="page"/>
      </w:r>
    </w:p>
    <w:p>
      <w:pPr>
        <w:pStyle w:val="Heading1"/>
        <w:spacing w:before="400"/>
      </w:pPr>
      <w:r>
        <w:t xml:space="preserve">10. Decision Gates</w:t>
      </w:r>
    </w:p>
    <w:p>
      <w:pPr>
        <w:spacing w:after="160" w:line="276"/>
      </w:pPr>
      <w:r>
        <w:rPr>
          <w:rFonts w:ascii="Arial" w:cs="Arial" w:eastAsia="Arial" w:hAnsi="Arial"/>
          <w:sz w:val="22"/>
          <w:szCs w:val="22"/>
        </w:rPr>
        <w:t xml:space="preserve">Explicit decision points ensure data-driven progression. At each gate, evidence determines whether to proceed, pivot, or pause.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400"/>
        <w:gridCol w:w="33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Gate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Timing</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Question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Proceed If</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Week 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Does Jordan renew after free month?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Yes + measurable value delivered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 we have 3+ paying clients?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clients at €500+ with &lt; 20% churn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Month 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Is AI/human ratio improving?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50%+ AI on at least 2 processes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Should we build the assistant?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agents operational, ontology covers 2+ verticals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Month 12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Should Spider become a separate entity?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20+ clients, €30K+ MRR, path to 65%+ margins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Should we raise capital?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PMF confirmed, unit economics validated, partner demand exists</w:t>
            </w:r>
          </w:p>
        </w:tc>
      </w:tr>
    </w:tbl>
    <w:p>
      <w:pPr>
        <w:spacing w:before="400"/>
      </w:pPr>
    </w:p>
    <w:p>
      <w:pPr>
        <w:pBdr>
          <w:bottom w:val="single" w:color="2E75B6" w:sz="4" w:space="8"/>
        </w:pBdr>
        <w:spacing w:before="300" w:after="300"/>
      </w:pPr>
    </w:p>
    <w:p>
      <w:pPr>
        <w:spacing w:before="100"/>
      </w:pPr>
    </w:p>
    <w:p>
      <w:pPr>
        <w:jc w:val="center"/>
      </w:pPr>
      <w:r>
        <w:rPr>
          <w:rFonts w:ascii="Arial" w:cs="Arial" w:eastAsia="Arial" w:hAnsi="Arial"/>
          <w:i/>
          <w:iCs/>
          <w:color w:val="1A1A2E"/>
          <w:sz w:val="26"/>
          <w:szCs w:val="26"/>
        </w:rPr>
        <w:t xml:space="preserve">Spider is not a product to build.</w:t>
      </w:r>
    </w:p>
    <w:p>
      <w:pPr>
        <w:spacing w:before="80"/>
        <w:jc w:val="center"/>
      </w:pPr>
      <w:r>
        <w:rPr>
          <w:rFonts w:ascii="Arial" w:cs="Arial" w:eastAsia="Arial" w:hAnsi="Arial"/>
          <w:i/>
          <w:iCs/>
          <w:color w:val="1A1A2E"/>
          <w:sz w:val="26"/>
          <w:szCs w:val="26"/>
        </w:rPr>
        <w:t xml:space="preserve">It is an operational truth to discover.</w:t>
      </w:r>
    </w:p>
    <w:p>
      <w:pPr>
        <w:spacing w:before="80" w:after="200"/>
        <w:jc w:val="center"/>
      </w:pPr>
      <w:r>
        <w:rPr>
          <w:rFonts w:ascii="Arial" w:cs="Arial" w:eastAsia="Arial" w:hAnsi="Arial"/>
          <w:i/>
          <w:iCs/>
          <w:color w:val="1A1A2E"/>
          <w:sz w:val="26"/>
          <w:szCs w:val="26"/>
        </w:rPr>
        <w:t xml:space="preserve">Drakkar is the laboratory. The clients are the test.</w:t>
      </w:r>
    </w:p>
    <w:p>
      <w:pPr>
        <w:spacing w:before="80" w:after="200"/>
        <w:jc w:val="center"/>
      </w:pPr>
      <w:r>
        <w:rPr>
          <w:rFonts w:ascii="Arial" w:cs="Arial" w:eastAsia="Arial" w:hAnsi="Arial"/>
          <w:i/>
          <w:iCs/>
          <w:color w:val="1A1A2E"/>
          <w:sz w:val="26"/>
          <w:szCs w:val="26"/>
        </w:rPr>
        <w:t xml:space="preserve">The product emerges from operations, not from conception.</w:t>
      </w:r>
    </w:p>
    <w:p>
      <w:pPr>
        <w:spacing w:before="400"/>
      </w:pPr>
    </w:p>
    <w:p>
      <w:pPr>
        <w:jc w:val="center"/>
      </w:pPr>
      <w:r>
        <w:rPr>
          <w:rFonts w:ascii="Arial" w:cs="Arial" w:eastAsia="Arial" w:hAnsi="Arial"/>
          <w:color w:val="666666"/>
          <w:sz w:val="20"/>
          <w:szCs w:val="20"/>
        </w:rPr>
        <w:t xml:space="preserve">Drakkar Group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Drakkar Group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2E75B6"/>
        <w:sz w:val="16"/>
        <w:szCs w:val="16"/>
      </w:rPr>
      <w:t xml:space="preserve">SPIDER  </w:t>
    </w:r>
    <w:r>
      <w:rPr>
        <w:rFonts w:ascii="Arial" w:cs="Arial" w:eastAsia="Arial" w:hAnsi="Arial"/>
        <w:color w:val="666666"/>
        <w:sz w:val="16"/>
        <w:szCs w:val="16"/>
      </w:rPr>
      <w:t xml:space="preserve">Strategic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2026-02-16T10:21:39.726Z</dcterms:created>
  <dcterms:modified xsi:type="dcterms:W3CDTF">2026-02-16T10:21:39.727Z</dcterms:modified>
</cp:coreProperties>
</file>

<file path=docProps/custom.xml><?xml version="1.0" encoding="utf-8"?>
<Properties xmlns="http://schemas.openxmlformats.org/officeDocument/2006/custom-properties" xmlns:vt="http://schemas.openxmlformats.org/officeDocument/2006/docPropsVTypes"/>
</file>