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160" w:before="300" w:line="264" w:lineRule="auto"/>
        <w:rPr>
          <w:rFonts w:ascii="Bai Jamjuree" w:cs="Bai Jamjuree" w:eastAsia="Bai Jamjuree" w:hAnsi="Bai Jamjuree"/>
          <w:sz w:val="48"/>
          <w:szCs w:val="48"/>
        </w:rPr>
      </w:pPr>
      <w:bookmarkStart w:colFirst="0" w:colLast="0" w:name="_izw96zruz7qb" w:id="0"/>
      <w:bookmarkEnd w:id="0"/>
      <w:r w:rsidDel="00000000" w:rsidR="00000000" w:rsidRPr="00000000">
        <w:rPr>
          <w:rFonts w:ascii="Bai Jamjuree" w:cs="Bai Jamjuree" w:eastAsia="Bai Jamjuree" w:hAnsi="Bai Jamjuree"/>
          <w:b w:val="1"/>
          <w:bCs w:val="1"/>
          <w:sz w:val="40"/>
          <w:szCs w:val="40"/>
          <w:rtl w:val="0"/>
        </w:rPr>
        <w:t xml:space="preserve">Aj. Sukree's Course Materials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Bai Jamjuree" w:cs="Bai Jamjuree" w:eastAsia="Bai Jamjuree" w:hAnsi="Bai Jamjuree"/>
        </w:rPr>
      </w:pPr>
      <w:hyperlink r:id="rId6">
        <w:r w:rsidDel="00000000" w:rsidR="00000000" w:rsidRPr="00000000">
          <w:rPr>
            <w:rFonts w:ascii="Bai Jamjuree" w:cs="Bai Jamjuree" w:eastAsia="Bai Jamjuree" w:hAnsi="Bai Jamjuree"/>
            <w:color w:val="1155cc"/>
            <w:u w:val="single"/>
            <w:rtl w:val="0"/>
          </w:rPr>
          <w:t xml:space="preserve">Other Talks - Sukree Sinthupinyo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i Jamju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ites.google.com/view/ssukree/courses/other-talk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iJamjuree-regular.ttf"/><Relationship Id="rId2" Type="http://schemas.openxmlformats.org/officeDocument/2006/relationships/font" Target="fonts/BaiJamjuree-bold.ttf"/><Relationship Id="rId3" Type="http://schemas.openxmlformats.org/officeDocument/2006/relationships/font" Target="fonts/BaiJamjuree-italic.ttf"/><Relationship Id="rId4" Type="http://schemas.openxmlformats.org/officeDocument/2006/relationships/font" Target="fonts/BaiJamjure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