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36"/>
      </w:pPr>
      <w:r>
        <w:t>OAI Self-Report vs. Accelerometer Activity: Agreement/Validation Analysis Plan</w:t>
      </w:r>
    </w:p>
    <w:p>
      <w:pPr>
        <w:pStyle w:val="Heading2"/>
        <w:spacing w:before="189" w:after="157"/>
      </w:pPr>
      <w:r>
        <w:t>Exploratory Agreement/Validation Analysis Plan</w:t>
      </w:r>
      <w:r/>
    </w:p>
    <w:p>
      <w:pPr>
        <w:pStyle w:val="Heading3"/>
        <w:spacing w:before="189" w:after="157"/>
      </w:pPr>
      <w:r>
        <w:t>OAI Self-Report (PASE, 96-month Walking Survey) vs. ActiGraph Accelerometer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1. Objective and framing</w:t>
      </w:r>
      <w:r/>
    </w:p>
    <w:p>
      <w:pPr/>
      <w:r>
        <w:t>The primary objective is to quantify how well OAI self-reported activity measures — the Physical Activity Scale for the Elderly (PASE, collected at annual visits) and the 96-month Historical Physical Activity Survey walking-for-exercise item — track device-measured activity from the ActiGraph GT1M accelerometer substudy nested at the 48-month visit.</w:t>
      </w:r>
      <w:r/>
    </w:p>
    <w:p>
      <w:pPr/>
      <w:r>
        <w:t xml:space="preserve">Because the self-report and device measures were largely </w:t>
      </w:r>
      <w:r>
        <w:rPr>
          <w:b/>
        </w:rPr>
        <w:t>not</w:t>
      </w:r>
      <w:r>
        <w:t xml:space="preserve"> collected concurrently, the analysis is framed primarily as </w:t>
      </w:r>
      <w:r>
        <w:rPr>
          <w:b/>
        </w:rPr>
        <w:t>convergent/construct validity</w:t>
      </w:r>
      <w:r>
        <w:t xml:space="preserve"> (rank-order concordance and systematic bias) rather than strict criterion validity, with a single temporally-matched comparison reserved as the closest approximation to concurrent criterion validity. Temporal mismatch attenuates correlations beyond the already weak-to-moderate agreement (ρ ≈ 0.14–0.58) typical even of concurrent PA-questionnaire-vs-accelerometer studies (Skender et al., BMC Public Health 2016).</w:t>
      </w:r>
      <w:r/>
    </w:p>
    <w:p>
      <w:pPr/>
      <w:r>
        <w:rPr>
          <w:b/>
        </w:rPr>
        <w:t>Three aims structure the plan:</w:t>
      </w:r>
      <w:r/>
      <w:r/>
    </w:p>
    <w:p>
      <w:pPr>
        <w:pStyle w:val="ListBullet"/>
      </w:pPr>
      <w:r>
        <w:rPr>
          <w:b/>
        </w:rPr>
        <w:t>Aim 1 (primary):</w:t>
      </w:r>
      <w:r>
        <w:t xml:space="preserve"> Concurrent validity of the 48-month PASE against the 48-month accelerometer (the only truly overlapping pair).</w:t>
      </w:r>
      <w:r/>
    </w:p>
    <w:p>
      <w:pPr>
        <w:pStyle w:val="ListBullet"/>
      </w:pPr>
      <w:r>
        <w:rPr>
          <w:b/>
        </w:rPr>
        <w:t>Aim 2:</w:t>
      </w:r>
      <w:r>
        <w:t xml:space="preserve"> Construct validity / rank-order stability of PASE at other visits and of the 96-month walking-for-exercise item against the 48-month accelerometer.</w:t>
      </w:r>
      <w:r/>
    </w:p>
    <w:p>
      <w:pPr>
        <w:pStyle w:val="ListBullet"/>
      </w:pPr>
      <w:r>
        <w:rPr>
          <w:b/>
        </w:rPr>
        <w:t>Aim 3:</w:t>
      </w:r>
      <w:r>
        <w:t xml:space="preserve"> Guideline-attainment and cutpoint agreement (categorical), including whether a PASE threshold can classify accelerometer-defined (in)activity.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2. Design and analytic samples</w:t>
      </w:r>
      <w:r/>
    </w:p>
    <w:p>
      <w:pPr/>
      <w:r>
        <w:t>Cross-sectional method-comparison study nested in the OAI, with the accelerometer substudy defining the analytic backbone. The accelerometer substudy enrolled participants attending the 48-month visit (August 2008–July 2010); of 2,127 consenting (78.4% of eligibles), ~1,908 had valid accelerometer estimates (Sun et al., Arthritis Care Res 2014). Applied analyses have retained 1,574–1,927 (Vina et al., Arthritis Care Res 2024).</w:t>
      </w:r>
      <w:r/>
    </w:p>
    <w:p>
      <w:pPr/>
      <w:r>
        <w:t>Define three nested samples explicitly and report in a flow diagram: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Inclusion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Anchor comparison</w:t>
            </w:r>
          </w:p>
        </w:tc>
      </w:tr>
      <w:tr>
        <w:tc>
          <w:tcPr>
            <w:tcW w:type="dxa" w:w="2880"/>
          </w:tcPr>
          <w:p>
            <w:r>
              <w:t>A (primary)</w:t>
            </w:r>
          </w:p>
        </w:tc>
        <w:tc>
          <w:tcPr>
            <w:tcW w:type="dxa" w:w="2880"/>
          </w:tcPr>
          <w:p>
            <w:r>
              <w:t>Valid 48-mo accelerometer + 48-mo PASE</w:t>
            </w:r>
          </w:p>
        </w:tc>
        <w:tc>
          <w:tcPr>
            <w:tcW w:type="dxa" w:w="2880"/>
          </w:tcPr>
          <w:p>
            <w:r>
              <w:t>Concurrent criterion validity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Valid 48-mo accelerometer + PASE at other visits (0/12/24/36 mo)</w:t>
            </w:r>
          </w:p>
        </w:tc>
        <w:tc>
          <w:tcPr>
            <w:tcW w:type="dxa" w:w="2880"/>
          </w:tcPr>
          <w:p>
            <w:r>
              <w:t>Rank-order stability over time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Valid 48-mo accelerometer + 96-mo walking-for-exercise item</w:t>
            </w:r>
          </w:p>
        </w:tc>
        <w:tc>
          <w:tcPr>
            <w:tcW w:type="dxa" w:w="2880"/>
          </w:tcPr>
          <w:p>
            <w:r>
              <w:t>Prospective device vs. retrospective recall</w:t>
            </w:r>
          </w:p>
        </w:tc>
      </w:tr>
    </w:tbl>
    <w:p>
      <w:r/>
    </w:p>
    <w:p>
      <w:pPr/>
      <w:r>
        <w:t>Sample C is the weakest temporally (device at 48 months vs. lifetime recall reported at 96 months); interpret as a test of whether a retrospective habitual-walking report ranks people consistently with an earlier objective snapshot, not as validation in the usual sense (Lo et al., Arthritis Rheumatol 2022).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3. Variables and derivation</w:t>
      </w:r>
      <w:r/>
    </w:p>
    <w:p>
      <w:pPr>
        <w:pStyle w:val="Heading3"/>
        <w:spacing w:before="189" w:after="157"/>
      </w:pPr>
      <w:r>
        <w:t>Accelerometer (criterion measure)</w:t>
      </w:r>
      <w:r/>
    </w:p>
    <w:p>
      <w:pPr/>
      <w:r>
        <w:t>Adopt established OAI processing conventions for comparability with the substudy literature (Song et al., Arthritis Care Res 2010; 2013):</w:t>
      </w:r>
      <w:r/>
      <w:r/>
    </w:p>
    <w:p>
      <w:pPr>
        <w:pStyle w:val="ListBullet"/>
      </w:pPr>
      <w:r>
        <w:rPr>
          <w:b/>
        </w:rPr>
        <w:t>Non-wear:</w:t>
      </w:r>
      <w:r>
        <w:t xml:space="preserve"> ≥90 consecutive minutes of zero counts (allowing up to 2 interrupted minutes &lt;100 counts) — the threshold validated for knee-OA populations, whose long sedentary bouts are misclassified by the general-population 60-minute rule.</w:t>
      </w:r>
      <w:r/>
    </w:p>
    <w:p>
      <w:pPr>
        <w:pStyle w:val="ListBullet"/>
      </w:pPr>
      <w:r>
        <w:rPr>
          <w:b/>
        </w:rPr>
        <w:t>Valid day:</w:t>
      </w:r>
      <w:r>
        <w:t xml:space="preserve"> ≥10 wear-hours. </w:t>
      </w:r>
      <w:r>
        <w:rPr>
          <w:b/>
        </w:rPr>
        <w:t>Valid week:</w:t>
      </w:r>
      <w:r>
        <w:t xml:space="preserve"> 4–7 valid days; weekly totals summed for 7-day wearers, estimated as 7 × daily average for 4–6 valid days.</w:t>
      </w:r>
      <w:r/>
      <w:r/>
    </w:p>
    <w:p>
      <w:pPr/>
      <w:r>
        <w:rPr>
          <w:b/>
        </w:rPr>
        <w:t>Candidate device endpoints:</w:t>
      </w:r>
      <w:r/>
      <w:r/>
    </w:p>
    <w:p>
      <w:pPr>
        <w:pStyle w:val="ListBullet"/>
      </w:pPr>
      <w:r>
        <w:rPr>
          <w:b/>
        </w:rPr>
        <w:t>MVPA (total, unbouted):</w:t>
      </w:r>
      <w:r>
        <w:t xml:space="preserve"> minutes/day with counts ≥2,020 cpm (Troiano/NCI cutpoint).</w:t>
      </w:r>
      <w:r/>
    </w:p>
    <w:p>
      <w:pPr>
        <w:pStyle w:val="ListBullet"/>
      </w:pPr>
      <w:r>
        <w:rPr>
          <w:b/>
        </w:rPr>
        <w:t>MVPA (bouted):</w:t>
      </w:r>
      <w:r>
        <w:t xml:space="preserve"> minutes in ≥10-minute bouts (≤2-minute drop-below allowance) — the legacy guideline metric.</w:t>
      </w:r>
      <w:r/>
    </w:p>
    <w:p>
      <w:pPr>
        <w:pStyle w:val="ListBullet"/>
      </w:pPr>
      <w:r>
        <w:rPr>
          <w:b/>
        </w:rPr>
        <w:t>Steps/day</w:t>
      </w:r>
      <w:r>
        <w:t xml:space="preserve"> and </w:t>
      </w:r>
      <w:r>
        <w:rPr>
          <w:b/>
        </w:rPr>
        <w:t>average daily activity counts</w:t>
      </w:r>
      <w:r>
        <w:t xml:space="preserve"> as continuous volume measures.</w:t>
      </w:r>
      <w:r/>
    </w:p>
    <w:p>
      <w:pPr>
        <w:pStyle w:val="ListBullet"/>
      </w:pPr>
      <w:r>
        <w:rPr>
          <w:b/>
        </w:rPr>
        <w:t>Guideline attainment (3 levels):</w:t>
      </w:r>
      <w:r>
        <w:t xml:space="preserve"> meeting (≥150 bouted MV min/wk), insufficiently active (≥1 bout but &lt;150 min/wk), inactive (0 bouts).</w:t>
      </w:r>
      <w:r/>
      <w:r/>
    </w:p>
    <w:p>
      <w:pPr/>
      <w:r>
        <w:t>Pre-specify and report the cutpoint and epoch (1-minute), with an alternative cutpoint as a sensitivity analysis (cutpoint choice swings guideline-attainment prevalence dramatically; Migueles et al., Sports Med 2017).</w:t>
      </w:r>
      <w:r/>
    </w:p>
    <w:p>
      <w:pPr>
        <w:pStyle w:val="Heading3"/>
        <w:spacing w:before="189" w:after="157"/>
      </w:pPr>
      <w:r>
        <w:t>PASE (index self-report)</w:t>
      </w:r>
      <w:r/>
    </w:p>
    <w:p>
      <w:pPr/>
      <w:r>
        <w:t xml:space="preserve">Score the 12-item PASE across leisure, household, and occupational domains using the standard weighted algorithm; derive the </w:t>
      </w:r>
      <w:r>
        <w:rPr>
          <w:b/>
        </w:rPr>
        <w:t>total score</w:t>
      </w:r>
      <w:r>
        <w:t xml:space="preserve"> and the isolated </w:t>
      </w:r>
      <w:r>
        <w:rPr>
          <w:b/>
        </w:rPr>
        <w:t>walking subscore</w:t>
      </w:r>
      <w:r>
        <w:t xml:space="preserve"> (the closest self-report analogue to ambulatory output). Analyze PASE continuously and in tertiles (consistent with prior OAI usage, e.g., Bricca et al., Arthritis Care Res 2019).</w:t>
      </w:r>
      <w:r/>
    </w:p>
    <w:p>
      <w:pPr>
        <w:pStyle w:val="Heading3"/>
        <w:spacing w:before="189" w:after="157"/>
      </w:pPr>
      <w:r>
        <w:t>96-month walking-for-exercise</w:t>
      </w:r>
      <w:r/>
    </w:p>
    <w:p>
      <w:pPr/>
      <w:r>
        <w:t>Derive the hierarchical walking variable: the yes/no screen ("walked for exercise ≥10 times at age ≥50"), the ≥20-minute duration filter, and the ordinal years / months-per-year / times-per-month responses, from which an estimated lifetime walking-bout total is computed using category medians (Lo et al., Arthritis Rheumatol 2022).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4. Temporal-alignment strategy</w:t>
      </w:r>
      <w:r/>
    </w:p>
    <w:p>
      <w:pPr/>
      <w:r>
        <w:t>Temporal mismatch is the central threat to validity and should be handled by design:</w:t>
      </w:r>
      <w:r/>
      <w:r/>
    </w:p>
    <w:p>
      <w:pPr>
        <w:pStyle w:val="ListBullet"/>
      </w:pPr>
      <w:r>
        <w:t xml:space="preserve">Use the </w:t>
      </w:r>
      <w:r>
        <w:rPr>
          <w:b/>
        </w:rPr>
        <w:t>48-month PASE</w:t>
      </w:r>
      <w:r>
        <w:t xml:space="preserve"> as the primary comparator (only self-report contemporaneous with device wear).</w:t>
      </w:r>
      <w:r/>
    </w:p>
    <w:p>
      <w:pPr>
        <w:pStyle w:val="ListBullet"/>
      </w:pPr>
      <w:r>
        <w:t>Report the exact interval (in days) between each participant's PASE administration and accelerometer wear window; include it as a covariate/stratifier in sensitivity analyses.</w:t>
      </w:r>
      <w:r/>
    </w:p>
    <w:p>
      <w:pPr>
        <w:pStyle w:val="ListBullet"/>
      </w:pPr>
      <w:r>
        <w:t>For Sample C, explicitly report the ~48-month gap and frame findings as rank-order stability.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5. Statistical analysis plan</w:t>
      </w:r>
      <w:r/>
    </w:p>
    <w:p>
      <w:pPr/>
      <w:r>
        <w:t>PA data are right-skewed and often zero-inflated: use medians/IQRs and Wilcoxon signed-rank tests, not means/t-tests (Akram et al., IJBNPA 2023).</w:t>
      </w:r>
      <w:r/>
    </w:p>
    <w:p>
      <w:pPr/>
      <w:r>
        <w:rPr>
          <w:b/>
        </w:rPr>
        <w:t>Layer 1 — Relative validity (rank-order).</w:t>
      </w:r>
      <w:r>
        <w:t xml:space="preserve"> Spearman ρ between each self-report and device variable, with 95% CIs (primary continuous metric given non-normality). Interpret against benchmarks (≤0.30 poor, 0.31–0.40 fair, 0.41–0.60 moderate, 0.61–0.80 substantial). Report deattenuated correlations where a reliability estimate is available. Realistic prior: PASE-vs-accelerometer counts r ≈ 0.36–0.64 in general older adults, as low as 0.06–0.45 in OA/arthroplasty samples.</w:t>
      </w:r>
      <w:r/>
    </w:p>
    <w:p>
      <w:pPr/>
      <w:r>
        <w:rPr>
          <w:b/>
        </w:rPr>
        <w:t>Layer 2 — Absolute agreement and bias.</w:t>
      </w:r>
      <w:r>
        <w:t xml:space="preserve"> Bland-Altman (difference vs. mean) with mean bias and 95% limits of agreement, after log-transformation given expected heteroscedasticity. Test </w:t>
      </w:r>
      <w:r>
        <w:rPr>
          <w:b/>
        </w:rPr>
        <w:t>fixed bias</w:t>
      </w:r>
      <w:r>
        <w:t xml:space="preserve"> (mean-difference CI excludes zero) and </w:t>
      </w:r>
      <w:r>
        <w:rPr>
          <w:b/>
        </w:rPr>
        <w:t>proportional bias</w:t>
      </w:r>
      <w:r>
        <w:t xml:space="preserve"> (regression of difference on mean; report β, R², p). Strong prior: over-reporting of MVPA, under-capture of light walking. Pre-specify a clinically acceptable difference so LOA are interpreted against a threshold. Consider the Taffé method as a supplement where method precisions differ.</w:t>
      </w:r>
      <w:r/>
    </w:p>
    <w:p>
      <w:pPr/>
      <w:r>
        <w:rPr>
          <w:b/>
        </w:rPr>
        <w:t>Layer 3 — Categorical agreement.</w:t>
      </w:r>
      <w:r>
        <w:t xml:space="preserve"> Cross-classify guideline attainment (self-report vs. accelerometer); compute Cohen's κ (dichotomous ≥150 min/wk) and weighted κ (3-level ordinal). Report sensitivity, specificity, PPV, NPV of the self-report classification against the accelerometer reference. Expect fair agreement at best (κ ≈ 0.26–0.34).</w:t>
      </w:r>
      <w:r/>
    </w:p>
    <w:p>
      <w:pPr/>
      <w:r>
        <w:rPr>
          <w:b/>
        </w:rPr>
        <w:t>Layer 4 — Cutpoint determination.</w:t>
      </w:r>
      <w:r>
        <w:t xml:space="preserve"> ROC to identify the PASE (total and walking-subscore) threshold best discriminating accelerometer-defined inactive vs. active participants. Report AUC with 95% CI; select cutpoint by Youden index, with Index of Union / Euclidean-distance methods as sensitivity checks and bootstrapped CIs. Prior work discriminating inactivity via PASE achieved AUC ≈ 0.72.</w:t>
      </w:r>
      <w:r/>
    </w:p>
    <w:p>
      <w:pPr/>
      <w:r>
        <w:rPr>
          <w:b/>
        </w:rPr>
        <w:t>Layer 5 — Predictors of reporting bias.</w:t>
      </w:r>
      <w:r>
        <w:t xml:space="preserve"> Regress the individual bias score (self-report minus device, log/standardized scale) on accelerometer activity level, age, sex, BMI, WOMAC pain, and KL grade to characterize </w:t>
      </w:r>
      <w:r>
        <w:rPr>
          <w:i/>
        </w:rPr>
        <w:t>who</w:t>
      </w:r>
      <w:r>
        <w:t xml:space="preserve"> over- or under-reports. For modeling skewed activity outcomes themselves, prefer gamma or negative-binomial GLMs, or two-part (hurdle) models for zero-inflation.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6. Power and precision</w:t>
      </w:r>
      <w:r/>
    </w:p>
    <w:p>
      <w:pPr/>
      <w:r>
        <w:t xml:space="preserve">Agreement/validation studies estimate a parameter, so the relevant metric is </w:t>
      </w:r>
      <w:r>
        <w:rPr>
          <w:b/>
        </w:rPr>
        <w:t>CI width at the available sample sizes</w:t>
      </w:r>
      <w:r>
        <w:t xml:space="preserve">, not classical power. With PASE administered at the 48-month visit, essentially the entire valid-accelerometer sample has a concurrent PASE, so </w:t>
      </w:r>
      <w:r>
        <w:rPr>
          <w:b/>
        </w:rPr>
        <w:t>Sample A ≈ 1,900</w:t>
      </w:r>
      <w:r>
        <w:t xml:space="preserve">; </w:t>
      </w:r>
      <w:r>
        <w:rPr>
          <w:b/>
        </w:rPr>
        <w:t>Sample C ≈ 1,000–1,500</w:t>
      </w:r>
      <w:r>
        <w:t xml:space="preserve"> after 48-to-96-month attrition.</w:t>
      </w:r>
      <w:r/>
    </w:p>
    <w:p>
      <w:pPr>
        <w:pStyle w:val="Heading3"/>
        <w:spacing w:before="189" w:after="157"/>
      </w:pPr>
      <w:r>
        <w:t>Expected precision — Spearman (Bonett/Fisher-z; half-width = 1.96 × 1.03/√(n−3), back-transformed)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Analytic sample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True 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Approx. 95% CI</w:t>
            </w:r>
          </w:p>
        </w:tc>
      </w:tr>
      <w:tr>
        <w:tc>
          <w:tcPr>
            <w:tcW w:type="dxa" w:w="2160"/>
          </w:tcPr>
          <w:p>
            <w:r>
              <w:t>A (concurrent PASE)</w:t>
            </w:r>
          </w:p>
        </w:tc>
        <w:tc>
          <w:tcPr>
            <w:tcW w:type="dxa" w:w="2160"/>
          </w:tcPr>
          <w:p>
            <w:r>
              <w:t>~1,900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0.26–0.34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~1,900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0.41–0.49</w:t>
            </w:r>
          </w:p>
        </w:tc>
      </w:tr>
      <w:tr>
        <w:tc>
          <w:tcPr>
            <w:tcW w:type="dxa" w:w="2160"/>
          </w:tcPr>
          <w:p>
            <w:r>
              <w:t>C (96-mo walking)</w:t>
            </w:r>
          </w:p>
        </w:tc>
        <w:tc>
          <w:tcPr>
            <w:tcW w:type="dxa" w:w="2160"/>
          </w:tcPr>
          <w:p>
            <w:r>
              <w:t>~1,000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0.24–0.36</w:t>
            </w:r>
          </w:p>
        </w:tc>
      </w:tr>
      <w:tr>
        <w:tc>
          <w:tcPr>
            <w:tcW w:type="dxa" w:w="2160"/>
          </w:tcPr>
          <w:p>
            <w:r>
              <w:t>Subgroup (e.g., sex-stratified)</w:t>
            </w:r>
          </w:p>
        </w:tc>
        <w:tc>
          <w:tcPr>
            <w:tcW w:type="dxa" w:w="2160"/>
          </w:tcPr>
          <w:p>
            <w:r>
              <w:t>~400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0.21–0.39</w:t>
            </w:r>
          </w:p>
        </w:tc>
      </w:tr>
      <w:tr>
        <w:tc>
          <w:tcPr>
            <w:tcW w:type="dxa" w:w="2160"/>
          </w:tcPr>
          <w:p>
            <w:r>
              <w:t>Small subgroup</w:t>
            </w:r>
          </w:p>
        </w:tc>
        <w:tc>
          <w:tcPr>
            <w:tcW w:type="dxa" w:w="2160"/>
          </w:tcPr>
          <w:p>
            <w:r>
              <w:t>~150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0.14–0.44</w:t>
            </w:r>
          </w:p>
        </w:tc>
      </w:tr>
    </w:tbl>
    <w:p>
      <w:r/>
    </w:p>
    <w:p>
      <w:pPr/>
      <w:r>
        <w:t>In the full samples, even a "poor" ρ ≈ 0.30 is estimated to ±0.04 — clearly distinguishable from zero and from "moderate." Precision degrades only in small stratified subgroups (report CIs; interpret cautiously, e.g., documented r = 0.45 in men vs. 0.06 in women).</w:t>
      </w:r>
      <w:r/>
    </w:p>
    <w:p>
      <w:pPr>
        <w:pStyle w:val="Heading3"/>
        <w:spacing w:before="189" w:after="157"/>
      </w:pPr>
      <w:r>
        <w:t>Expected precision — Cohen's kappa (Shoukri–Donner CI-width)</w:t>
      </w:r>
      <w:r/>
    </w:p>
    <w:p>
      <w:pPr/>
      <w:r>
        <w:t xml:space="preserve">A κ ≈ 0.30 with balanced marginals (p ≈ 0.5) at n ≈ 1,900 gives a 95% CI half-width ~0.043 (κ ≈ 0.26–0.34); at n ≈ 1,574, ~0.047. Because guideline-attainment marginals are skewed (self-report ≈50% vs. accelerometer ≈15% meeting), the realistic half-width is closer to ±0.05–0.06. Use the </w:t>
      </w:r>
      <w:r>
        <w:rPr>
          <w:rFonts w:ascii="Courier" w:hAnsi="Courier"/>
        </w:rPr>
        <w:t>kappaSize</w:t>
      </w:r>
      <w:r>
        <w:t xml:space="preserve"> R package (Rotondi &amp; Donner) to finalize once observed marginals are known; use exact/bootstrap CIs for any small subgroup.</w:t>
      </w:r>
      <w:r/>
    </w:p>
    <w:p>
      <w:pPr>
        <w:pStyle w:val="Heading3"/>
        <w:spacing w:before="189" w:after="157"/>
      </w:pPr>
      <w:r>
        <w:t>Recommendations</w:t>
      </w:r>
      <w:r/>
    </w:p>
    <w:p>
      <w:pPr/>
      <w:r>
        <w:t>No sample inflation needed for primary aims (±0.04–0.06 precision on ρ and κ). Reserve formal precision calculations for the ROC cutpoint CI and subgroups with n &lt; ~400. Report deattenuated correlations, since single-occasion accelerometer wear caps observable ρ regardless of sample size.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7. Sensitivity analyses</w:t>
      </w:r>
      <w:r/>
      <w:r/>
    </w:p>
    <w:p>
      <w:pPr>
        <w:pStyle w:val="ListBullet"/>
      </w:pPr>
      <w:r>
        <w:t>60-minute non-wear threshold (NHANES-harmonized) alongside the primary 90-minute rule</w:t>
      </w:r>
      <w:r/>
    </w:p>
    <w:p>
      <w:pPr>
        <w:pStyle w:val="ListBullet"/>
      </w:pPr>
      <w:r>
        <w:t>Alternative MVPA cutpoint</w:t>
      </w:r>
      <w:r/>
    </w:p>
    <w:p>
      <w:pPr>
        <w:pStyle w:val="ListBullet"/>
      </w:pPr>
      <w:r>
        <w:t>Restriction to ≥5 or 7 valid days</w:t>
      </w:r>
      <w:r/>
    </w:p>
    <w:p>
      <w:pPr>
        <w:pStyle w:val="ListBullet"/>
      </w:pPr>
      <w:r>
        <w:t>Stratification by the PASE-accelerometer time gap</w:t>
      </w:r>
      <w:r/>
    </w:p>
    <w:p>
      <w:pPr>
        <w:pStyle w:val="ListBullet"/>
      </w:pPr>
      <w:r>
        <w:t>Sex-stratified agreement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8. Key pitfalls</w:t>
      </w:r>
      <w:r/>
      <w:r/>
    </w:p>
    <w:p>
      <w:pPr>
        <w:pStyle w:val="ListNumber"/>
        <w:numPr>
          <w:ilvl w:val="0"/>
          <w:numId w:val="10"/>
        </w:numPr>
      </w:pPr>
      <w:r>
        <w:rPr>
          <w:b/>
        </w:rPr>
        <w:t>Temporal mismatch</w:t>
      </w:r>
      <w:r>
        <w:t xml:space="preserve"> attenuates every correlation — do not read as poor questionnaire performance per se.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Construct non-equivalence:</w:t>
      </w:r>
      <w:r>
        <w:t xml:space="preserve"> the hip-worn uniaxial GT1M misses cycling, swimming, upper-body/load-bearing activity that PASE and the walking survey capture, so some disagreement is "correct."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Processing-decision sensitivity:</w:t>
      </w:r>
      <w:r>
        <w:t xml:space="preserve"> non-wear threshold, valid-day rule, epoch, and intensity cutpoint each materially move device estimates — pre-register and vary all.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Correlation-only reporting is inadequate:</w:t>
      </w:r>
      <w:r>
        <w:t xml:space="preserve"> ρ can be moderate while Bland-Altman reveals large proportional bias — always pair a correlation with an agreement plot.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Skew and zero-inflation</w:t>
      </w:r>
      <w:r>
        <w:t xml:space="preserve"> invalidate means/t-tests/linear models — use nonparametric or GLM/two-part approaches.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PASE measurement error and poor responsiveness</w:t>
      </w:r>
      <w:r>
        <w:t xml:space="preserve"> cap achievable agreement.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96-month recall bias:</w:t>
      </w:r>
      <w:r>
        <w:t xml:space="preserve"> the walking item was ascertained after outcomes — a further limit on Sample C.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9. Suggested deliverables</w:t>
      </w:r>
      <w:r/>
      <w:r/>
    </w:p>
    <w:p>
      <w:pPr>
        <w:pStyle w:val="ListBullet"/>
      </w:pPr>
      <w:r>
        <w:t>Participant-flow/CONSORT diagram across Samples A–C</w:t>
      </w:r>
      <w:r/>
    </w:p>
    <w:p>
      <w:pPr>
        <w:pStyle w:val="ListBullet"/>
      </w:pPr>
      <w:r>
        <w:t>Descriptive table of device and self-report distributions (medians/IQR)</w:t>
      </w:r>
      <w:r/>
    </w:p>
    <w:p>
      <w:pPr>
        <w:pStyle w:val="ListBullet"/>
      </w:pPr>
      <w:r>
        <w:t>Correlation matrix (Spearman, with deattenuated values)</w:t>
      </w:r>
      <w:r/>
    </w:p>
    <w:p>
      <w:pPr>
        <w:pStyle w:val="ListBullet"/>
      </w:pPr>
      <w:r>
        <w:t>Bland-Altman plots with fixed/proportional bias statistics for each key pair</w:t>
      </w:r>
      <w:r/>
    </w:p>
    <w:p>
      <w:pPr>
        <w:pStyle w:val="ListBullet"/>
      </w:pPr>
      <w:r>
        <w:t>κ / sensitivity-specificity table for guideline attainment</w:t>
      </w:r>
      <w:r/>
    </w:p>
    <w:p>
      <w:pPr>
        <w:pStyle w:val="ListBullet"/>
      </w:pPr>
      <w:r>
        <w:t>ROC output with optimal PASE cutpoint and its CI</w:t>
      </w:r>
      <w:r/>
    </w:p>
    <w:p>
      <w:pPr>
        <w:pStyle w:val="ListBullet"/>
      </w:pPr>
      <w:r>
        <w:t>Full reporting of device processing (device, epoch, non-wear algorithm, valid-day/week criteria, cutpoints) to current accelerometry standards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10. Per-Genotype Progression Analysis (genetic arm)</w:t>
      </w:r>
      <w:r/>
    </w:p>
    <w:p>
      <w:pPr>
        <w:pStyle w:val="Heading3"/>
        <w:spacing w:before="189" w:after="157"/>
      </w:pPr>
      <w:r>
        <w:t>10.1 Central framing</w:t>
      </w:r>
      <w:r/>
    </w:p>
    <w:p>
      <w:pPr/>
      <w:r>
        <w:t xml:space="preserve">Treat </w:t>
      </w:r>
      <w:r>
        <w:rPr>
          <w:b/>
        </w:rPr>
        <w:t>susceptibility genetics and progression genetics as distinct questions.</w:t>
      </w:r>
      <w:r>
        <w:t xml:space="preserve"> Loci discovered by case-control GWAS of OA </w:t>
      </w:r>
      <w:r>
        <w:rPr>
          <w:i/>
        </w:rPr>
        <w:t>presence</w:t>
      </w:r>
      <w:r>
        <w:t xml:space="preserve"> largely do not transfer to progression endpoints: the IMI-APPROACH cohort found none of 30 validated OA-presence SNPs, nor a 30-SNP polygenic risk score (PRS), associated with 2-year minimum-JSW or KOOS-pain progression (Bentvelzen et al., PLoS One 2024). Conversely, a GO-consortium susceptibility PRS predicted progression selectively toward </w:t>
      </w:r>
      <w:r>
        <w:rPr>
          <w:i/>
        </w:rPr>
        <w:t>end-stage</w:t>
      </w:r>
      <w:r>
        <w:t xml:space="preserve"> disease in the Rotterdam Study (higher ORs for incident-severe and progressive-severe OA than for early incident OA; Sedaghati-Khayat et al., Arthritis Rheumatol 2022). </w:t>
      </w:r>
      <w:r>
        <w:rPr>
          <w:b/>
        </w:rPr>
        <w:t>A priori hypothesis:</w:t>
      </w:r>
      <w:r>
        <w:t xml:space="preserve"> susceptibility variants may drive progression to end-stage (TKR/KL4) but not short-interval structural change.</w:t>
      </w:r>
      <w:r/>
    </w:p>
    <w:p>
      <w:pPr/>
      <w:r>
        <w:t>Three pre-specified arms:</w:t>
      </w:r>
      <w:r/>
      <w:r/>
    </w:p>
    <w:p>
      <w:pPr>
        <w:pStyle w:val="ListNumber"/>
        <w:numPr>
          <w:ilvl w:val="0"/>
          <w:numId w:val="11"/>
        </w:numPr>
      </w:pPr>
      <w:r>
        <w:rPr>
          <w:b/>
        </w:rPr>
        <w:t>Candidate-locus arm</w:t>
      </w:r>
      <w:r>
        <w:t xml:space="preserve"> — curated established loci tested against each progression endpoint (primary, adequately powered).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PRS arm</w:t>
      </w:r>
      <w:r>
        <w:t xml:space="preserve"> — a susceptibility PRS and, exploratorily, a progression-weighted score (small number of pre-specified scores).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Hypothesis-free GWAS arm</w:t>
      </w:r>
      <w:r>
        <w:t xml:space="preserve"> — underpowered in OAI alone; discovery-only, labeled as such.</w:t>
      </w:r>
      <w:r/>
      <w:r/>
    </w:p>
    <w:p>
      <w:pPr>
        <w:pStyle w:val="Heading3"/>
        <w:spacing w:before="189" w:after="157"/>
      </w:pPr>
      <w:r>
        <w:t>10.2 Data access and structure</w:t>
      </w:r>
      <w:r/>
    </w:p>
    <w:p>
      <w:pPr/>
      <w:r>
        <w:t xml:space="preserve">OAI genotype data are </w:t>
      </w:r>
      <w:r>
        <w:rPr>
          <w:b/>
        </w:rPr>
        <w:t>controlled-access via dbGaP</w:t>
      </w:r>
      <w:r>
        <w:t xml:space="preserve">, requested separately from the phenotype data (OAI/NDA portal), each under its own data-use agreement. Participants were genotyped on the </w:t>
      </w:r>
      <w:r>
        <w:rPr>
          <w:b/>
        </w:rPr>
        <w:t>Illumina HumanOmni2.5M-Quad BeadChip (~2.44M SNPs)</w:t>
      </w:r>
      <w:r>
        <w:t xml:space="preserve"> at TGen; genotype data exist for </w:t>
      </w:r>
      <w:r>
        <w:rPr>
          <w:b/>
        </w:rPr>
        <w:t>n = 4,129</w:t>
      </w:r>
      <w:r>
        <w:t xml:space="preserve"> (3,366 White, 763 Black/African-American). Raw files are hg18 (Build 36) and require liftover to hg19/hg38 before imputation. </w:t>
      </w:r>
      <w:r>
        <w:rPr>
          <w:b/>
        </w:rPr>
        <w:t>There is no OAI-distributed imputed dataset</w:t>
      </w:r>
      <w:r>
        <w:t xml:space="preserve"> — investigators impute themselves; prior OAI work used 1000 Genomes (Minimac; BEAGLE5). For a new analysis, re-impute to </w:t>
      </w:r>
      <w:r>
        <w:rPr>
          <w:b/>
        </w:rPr>
        <w:t>TOPMed</w:t>
      </w:r>
      <w:r>
        <w:t xml:space="preserve"> (well-imputes r² &gt; 0.8 to MAF ~0.35% on the Omni 2.5M array; improves the African-ancestry subset) (Muthuirulan et al., Nat Commun 2021; Yau et al., Arthritis Rheumatol 2017; Hanks et al., Am J Hum Genet 2022).</w:t>
      </w:r>
      <w:r/>
    </w:p>
    <w:p>
      <w:pPr>
        <w:pStyle w:val="Heading3"/>
        <w:spacing w:before="189" w:after="157"/>
      </w:pPr>
      <w:r>
        <w:t>10.3 Analytic sample and ancestry handling</w:t>
      </w:r>
      <w:r/>
      <w:r/>
    </w:p>
    <w:p>
      <w:pPr>
        <w:pStyle w:val="ListBullet"/>
      </w:pPr>
      <w:r>
        <w:t xml:space="preserve">Primary analysis in the </w:t>
      </w:r>
      <w:r>
        <w:rPr>
          <w:b/>
        </w:rPr>
        <w:t>European-ancestry subset (n = 3,366)</w:t>
      </w:r>
      <w:r>
        <w:t xml:space="preserve"> with </w:t>
      </w:r>
      <w:r>
        <w:rPr>
          <w:b/>
        </w:rPr>
        <w:t>≥10 principal components</w:t>
      </w:r>
      <w:r>
        <w:t xml:space="preserve"> (computed after LD-pruning, MAF &gt; 5% filtering).</w:t>
      </w:r>
      <w:r/>
    </w:p>
    <w:p>
      <w:pPr>
        <w:pStyle w:val="ListBullet"/>
      </w:pPr>
      <w:r>
        <w:t xml:space="preserve">Analyze the </w:t>
      </w:r>
      <w:r>
        <w:rPr>
          <w:b/>
        </w:rPr>
        <w:t>African-ancestry subset (n = 763) separately</w:t>
      </w:r>
      <w:r>
        <w:t xml:space="preserve"> as exploratory replication — supports only large effects, hypothesis-generating.</w:t>
      </w:r>
      <w:r/>
    </w:p>
    <w:p>
      <w:pPr>
        <w:pStyle w:val="ListBullet"/>
      </w:pPr>
      <w:r>
        <w:t>Sample QC (Yau et al. pipeline): call rate &lt; 95%, sex discordance, cryptic relatedness (≤ second-degree), chromosomal-abnormality exclusions. SNP filters: MAF ≥ 1%, imputation Rsq ≥ 0.3, HWE P &gt; 1×10⁻⁴ in controls.</w:t>
      </w:r>
      <w:r/>
    </w:p>
    <w:p>
      <w:pPr>
        <w:pStyle w:val="ListBullet"/>
      </w:pPr>
      <w:r>
        <w:rPr>
          <w:b/>
        </w:rPr>
        <w:t>Winner's-curse caveat:</w:t>
      </w:r>
      <w:r>
        <w:t xml:space="preserve"> OAI was a discovery cohort for the Yau radiographic-OA GWAS and the Bonakdari progression ML models, so candidate SNPs drawn from those analyses (GDF5, FTO, TP63, SUPT3H, DUS4L) are subject to inflated effect estimates on re-testing. Disclose and, ideally, validate externally (e.g., Tasmanian, MOST cohorts).</w:t>
      </w:r>
      <w:r/>
      <w:r/>
    </w:p>
    <w:p>
      <w:pPr>
        <w:pStyle w:val="Heading3"/>
        <w:spacing w:before="189" w:after="157"/>
      </w:pPr>
      <w:r>
        <w:t>10.4 Genotype exposure definition</w:t>
      </w:r>
      <w:r/>
    </w:p>
    <w:p>
      <w:pPr/>
      <w:r>
        <w:t xml:space="preserve">Curate the candidate panel by evidence tier; pre-register </w:t>
      </w:r>
      <w:r>
        <w:rPr>
          <w:b/>
        </w:rPr>
        <w:t>additive coding (allele dosage 0/1/2) as primary</w:t>
      </w:r>
      <w:r>
        <w:t>, with dominant/recessive/genotypic codings as secondary under a model-selection framework (Bi et al., Methods 2018; pgainsim, Scherer et al., Bioinformatics 2021) — ~25% of complex-trait loci deviate from additivity (Guindo-Martínez et al., Nat Commun 2021).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Locus (lead SNP)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Susceptibility effect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Progression evidence</w:t>
            </w:r>
          </w:p>
        </w:tc>
      </w:tr>
      <w:tr>
        <w:tc>
          <w:tcPr>
            <w:tcW w:type="dxa" w:w="2880"/>
          </w:tcPr>
          <w:p>
            <w:r>
              <w:t>GDF5 (rs143383)</w:t>
            </w:r>
          </w:p>
        </w:tc>
        <w:tc>
          <w:tcPr>
            <w:tcW w:type="dxa" w:w="2880"/>
          </w:tcPr>
          <w:p>
            <w:r>
              <w:t>Knee OA OR 1.18</w:t>
            </w:r>
          </w:p>
        </w:tc>
        <w:tc>
          <w:tcPr>
            <w:tcW w:type="dxa" w:w="2880"/>
          </w:tcPr>
          <w:p>
            <w:r>
              <w:t>β=0.05 KL severity; ML progression driver</w:t>
            </w:r>
          </w:p>
        </w:tc>
      </w:tr>
      <w:tr>
        <w:tc>
          <w:tcPr>
            <w:tcW w:type="dxa" w:w="2880"/>
          </w:tcPr>
          <w:p>
            <w:r>
              <w:t>SMAD3 (rs3825977/rs12901071)</w:t>
            </w:r>
          </w:p>
        </w:tc>
        <w:tc>
          <w:tcPr>
            <w:tcW w:type="dxa" w:w="2880"/>
          </w:tcPr>
          <w:p>
            <w:r>
              <w:t>OA OR 1.08</w:t>
            </w:r>
          </w:p>
        </w:tc>
        <w:tc>
          <w:tcPr>
            <w:tcW w:type="dxa" w:w="2880"/>
          </w:tcPr>
          <w:p>
            <w:r>
              <w:t>β=0.19 total JSN; OR 1.47 for ≥5 joints</w:t>
            </w:r>
          </w:p>
        </w:tc>
      </w:tr>
      <w:tr>
        <w:tc>
          <w:tcPr>
            <w:tcW w:type="dxa" w:w="2880"/>
          </w:tcPr>
          <w:p>
            <w:r>
              <w:t>TGFA (rs3771501)</w:t>
            </w:r>
          </w:p>
        </w:tc>
        <w:tc>
          <w:tcPr>
            <w:tcW w:type="dxa" w:w="2880"/>
          </w:tcPr>
          <w:p>
            <w:r>
              <w:t>OA OR 0.94</w:t>
            </w:r>
          </w:p>
        </w:tc>
        <w:tc>
          <w:tcPr>
            <w:tcW w:type="dxa" w:w="2880"/>
          </w:tcPr>
          <w:p>
            <w:r>
              <w:t>β=−0.07 mJSW endophenotype</w:t>
            </w:r>
          </w:p>
        </w:tc>
      </w:tr>
      <w:tr>
        <w:tc>
          <w:tcPr>
            <w:tcW w:type="dxa" w:w="2880"/>
          </w:tcPr>
          <w:p>
            <w:r>
              <w:t>FTO (rs8044769)</w:t>
            </w:r>
          </w:p>
        </w:tc>
        <w:tc>
          <w:tcPr>
            <w:tcW w:type="dxa" w:w="2880"/>
          </w:tcPr>
          <w:p>
            <w:r>
              <w:t>Near-GWS arcOGEN</w:t>
            </w:r>
          </w:p>
        </w:tc>
        <w:tc>
          <w:tcPr>
            <w:tcW w:type="dxa" w:w="2880"/>
          </w:tcPr>
          <w:p>
            <w:r>
              <w:t>37% error-impact in OAI ML progression model</w:t>
            </w:r>
          </w:p>
        </w:tc>
      </w:tr>
      <w:tr>
        <w:tc>
          <w:tcPr>
            <w:tcW w:type="dxa" w:w="2880"/>
          </w:tcPr>
          <w:p>
            <w:r>
              <w:t>TP63 (rs12107036)</w:t>
            </w:r>
          </w:p>
        </w:tc>
        <w:tc>
          <w:tcPr>
            <w:tcW w:type="dxa" w:w="2880"/>
          </w:tcPr>
          <w:p>
            <w:r>
              <w:t>Near-GWS arcOGEN</w:t>
            </w:r>
          </w:p>
        </w:tc>
        <w:tc>
          <w:tcPr>
            <w:tcW w:type="dxa" w:w="2880"/>
          </w:tcPr>
          <w:p>
            <w:r>
              <w:t>OR 1.67 rapid progression with mtDNA haplogroup Uk</w:t>
            </w:r>
          </w:p>
        </w:tc>
      </w:tr>
      <w:tr>
        <w:tc>
          <w:tcPr>
            <w:tcW w:type="dxa" w:w="2880"/>
          </w:tcPr>
          <w:p>
            <w:r>
              <w:t>SUPT3H (rs10948172)</w:t>
            </w:r>
          </w:p>
        </w:tc>
        <w:tc>
          <w:tcPr>
            <w:tcW w:type="dxa" w:w="2880"/>
          </w:tcPr>
          <w:p>
            <w:r>
              <w:t>Near-GWS; mJSW</w:t>
            </w:r>
          </w:p>
        </w:tc>
        <w:tc>
          <w:tcPr>
            <w:tcW w:type="dxa" w:w="2880"/>
          </w:tcPr>
          <w:p>
            <w:r>
              <w:t>Optimum OAI ML progression model component</w:t>
            </w:r>
          </w:p>
        </w:tc>
      </w:tr>
      <w:tr>
        <w:tc>
          <w:tcPr>
            <w:tcW w:type="dxa" w:w="2880"/>
          </w:tcPr>
          <w:p>
            <w:r>
              <w:t>DUS4L/COG5 (7q22)</w:t>
            </w:r>
          </w:p>
        </w:tc>
        <w:tc>
          <w:tcPr>
            <w:tcW w:type="dxa" w:w="2880"/>
          </w:tcPr>
          <w:p>
            <w:r>
              <w:t>GWS knee OA</w:t>
            </w:r>
          </w:p>
        </w:tc>
        <w:tc>
          <w:tcPr>
            <w:tcW w:type="dxa" w:w="2880"/>
          </w:tcPr>
          <w:p>
            <w:r>
              <w:t>ML progression driver</w:t>
            </w:r>
          </w:p>
        </w:tc>
      </w:tr>
      <w:tr>
        <w:tc>
          <w:tcPr>
            <w:tcW w:type="dxa" w:w="2880"/>
          </w:tcPr>
          <w:p>
            <w:r>
              <w:t>PLCL2 / CDYL2</w:t>
            </w:r>
          </w:p>
        </w:tc>
        <w:tc>
          <w:tcPr>
            <w:tcW w:type="dxa" w:w="2880"/>
          </w:tcPr>
          <w:p>
            <w:r>
              <w:t>Not GWS for presence</w:t>
            </w:r>
          </w:p>
        </w:tc>
        <w:tc>
          <w:tcPr>
            <w:tcW w:type="dxa" w:w="2880"/>
          </w:tcPr>
          <w:p>
            <w:r>
              <w:t>GWS for minJSW decrease (progression-specific, unreplicated)</w:t>
            </w:r>
          </w:p>
        </w:tc>
      </w:tr>
      <w:tr>
        <w:tc>
          <w:tcPr>
            <w:tcW w:type="dxa" w:w="2880"/>
          </w:tcPr>
          <w:p>
            <w:r>
              <w:t>Arthrotest panel (rs2073508 +7)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AUC 0.78–0.82 for KL4/TKR at 8 yr</w:t>
            </w:r>
          </w:p>
        </w:tc>
      </w:tr>
    </w:tbl>
    <w:p>
      <w:r/>
    </w:p>
    <w:p>
      <w:pPr/>
      <w:r>
        <w:rPr>
          <w:b/>
        </w:rPr>
        <w:t>PRS arm:</w:t>
      </w:r>
      <w:r>
        <w:t xml:space="preserve"> susceptibility PRS from GO-consortium/Hatzikotoulas weights; exploratory IMI-APPROACH 19-SNP progression PRS and Arthrotest panel (both unreplicated). Consider </w:t>
      </w:r>
      <w:r>
        <w:rPr>
          <w:b/>
        </w:rPr>
        <w:t>mtDNA haplogroups (H, J, T, U, K)</w:t>
      </w:r>
      <w:r>
        <w:t xml:space="preserve"> and the TP63 × haplogroup-Uk mitonuclear interaction (among the strongest OAI progression signals; Durán-Sotuela et al., Osteoarthritis Cartilage 2024).</w:t>
      </w:r>
      <w:r/>
    </w:p>
    <w:p>
      <w:pPr>
        <w:pStyle w:val="Heading3"/>
        <w:spacing w:before="189" w:after="157"/>
      </w:pPr>
      <w:r>
        <w:t>10.5 Progression outcomes (harmonized to prior review definitions)</w:t>
      </w:r>
      <w:r/>
      <w:r/>
    </w:p>
    <w:p>
      <w:pPr>
        <w:pStyle w:val="ListBullet"/>
      </w:pPr>
      <w:r>
        <w:rPr>
          <w:b/>
        </w:rPr>
        <w:t>Symptomatic:</w:t>
      </w:r>
      <w:r>
        <w:t xml:space="preserve"> WOMAC pain/function trajectory; dichotomous OARSI-OMERACT progressor; KOOS for APPROACH comparability.</w:t>
      </w:r>
      <w:r/>
    </w:p>
    <w:p>
      <w:pPr>
        <w:pStyle w:val="ListBullet"/>
      </w:pPr>
      <w:r>
        <w:rPr>
          <w:b/>
        </w:rPr>
        <w:t>Radiographic:</w:t>
      </w:r>
      <w:r>
        <w:t xml:space="preserve"> medial JSN / minimum-JSW loss (continuous, mm/yr); ordinal KL-grade transition; binary progression to KL4/TKR (the end-stage phenotype).</w:t>
      </w:r>
      <w:r/>
    </w:p>
    <w:p>
      <w:pPr>
        <w:pStyle w:val="ListBullet"/>
      </w:pPr>
      <w:r>
        <w:rPr>
          <w:b/>
        </w:rPr>
        <w:t>MRI:</w:t>
      </w:r>
      <w:r>
        <w:t xml:space="preserve"> quantitative cartilage thickness/volume loss, cartilage T2; semiquantitative MOAKS/WORMS worsening.</w:t>
      </w:r>
      <w:r/>
    </w:p>
    <w:p>
      <w:pPr>
        <w:pStyle w:val="ListBullet"/>
      </w:pPr>
      <w:r>
        <w:rPr>
          <w:b/>
        </w:rPr>
        <w:t>Functional:</w:t>
      </w:r>
      <w:r>
        <w:t xml:space="preserve"> accelerometer- and biomechanics-based measures (Sections 1–9), treated as continuous progression outcomes.</w:t>
      </w:r>
      <w:r/>
      <w:r/>
    </w:p>
    <w:p>
      <w:pPr/>
      <w:r>
        <w:t>Pre-register each endpoint as continuous slope, ordinal transition, or time-to-event, because the model depends on it.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11. Model specifications by endpoint</w:t>
      </w:r>
      <w:r/>
    </w:p>
    <w:p>
      <w:pPr/>
      <w:r>
        <w:rPr>
          <w:b/>
        </w:rPr>
        <w:t>Common confounder block (all models):</w:t>
      </w:r>
      <w:r>
        <w:t xml:space="preserve"> age at baseline (</w:t>
      </w:r>
      <w:r>
        <w:rPr>
          <w:rFonts w:ascii="Courier" w:hAnsi="Courier"/>
        </w:rPr>
        <w:t>age0</w:t>
      </w:r>
      <w:r>
        <w:t>), sex, baseline BMI (</w:t>
      </w:r>
      <w:r>
        <w:rPr>
          <w:rFonts w:ascii="Courier" w:hAnsi="Courier"/>
        </w:rPr>
        <w:t>bmi0</w:t>
      </w:r>
      <w:r>
        <w:t>), ≥10 ancestry PCs (</w:t>
      </w:r>
      <w:r>
        <w:rPr>
          <w:rFonts w:ascii="Courier" w:hAnsi="Courier"/>
        </w:rPr>
        <w:t>PC1–PC10</w:t>
      </w:r>
      <w:r>
        <w:t xml:space="preserve">). European- and African-ancestry subsets modeled </w:t>
      </w:r>
      <w:r>
        <w:rPr>
          <w:b/>
        </w:rPr>
        <w:t>separately</w:t>
      </w:r>
      <w:r>
        <w:t>. Genotype term (</w:t>
      </w:r>
      <w:r>
        <w:rPr>
          <w:rFonts w:ascii="Courier" w:hAnsi="Courier"/>
        </w:rPr>
        <w:t>geno_add</w:t>
      </w:r>
      <w:r>
        <w:t xml:space="preserve">) is imputed allele dosage 0/1/2 (primary); dominant/recessive/genotypic as secondary codings. For PRS analyses, replace </w:t>
      </w:r>
      <w:r>
        <w:rPr>
          <w:rFonts w:ascii="Courier" w:hAnsi="Courier"/>
        </w:rPr>
        <w:t>geno_add</w:t>
      </w:r>
      <w:r>
        <w:t xml:space="preserve"> with the standardized PRS (mean 0, SD 1) and report effect per SD.</w:t>
      </w:r>
      <w:r/>
    </w:p>
    <w:p>
      <w:pPr>
        <w:pStyle w:val="Heading3"/>
        <w:spacing w:before="189" w:after="157"/>
      </w:pPr>
      <w:r>
        <w:t>11.1 Continuous endpoints — minimum JSW, medial JSN, cartilage thickness/volume, cartilage T2, WOMAC/KOOS</w:t>
      </w:r>
      <w:r/>
    </w:p>
    <w:p>
      <w:pPr/>
      <w:r>
        <w:t xml:space="preserve">Linear mixed-effects model, random intercept + random slope, knee nested within participant. Effect of interest = </w:t>
      </w:r>
      <w:r>
        <w:rPr>
          <w:rFonts w:ascii="Courier" w:hAnsi="Courier"/>
          <w:b/>
        </w:rPr>
        <w:t>time:geno_add</w:t>
      </w:r>
      <w:r>
        <w:t xml:space="preserve"> (per-allele difference in annual progression rate).</w:t>
      </w:r>
      <w:r/>
    </w:p>
    <w:p>
      <w:pPr/>
      <w:r>
        <w:rPr>
          <w:rFonts w:ascii="Courier" w:hAnsi="Courier"/>
        </w:rPr>
        <w:t># lme4</w:t>
        <w:br/>
        <w:t>lmer(outcome ~ time * geno_add + age0 + sex + bmi0 +</w:t>
        <w:br/>
        <w:t xml:space="preserve">       PC1 + PC2 + ... + PC10 +</w:t>
        <w:br/>
        <w:t xml:space="preserve">       (time | participant/knee),</w:t>
        <w:br/>
        <w:t xml:space="preserve">     data = df, REML = TRUE)</w:t>
        <w:br/>
      </w:r>
      <w:r/>
      <w:r/>
    </w:p>
    <w:p>
      <w:pPr>
        <w:pStyle w:val="ListBullet"/>
      </w:pPr>
      <w:r>
        <w:rPr>
          <w:b/>
        </w:rPr>
        <w:t>Coding:</w:t>
      </w:r>
      <w:r>
        <w:t xml:space="preserve"> </w:t>
      </w:r>
      <w:r>
        <w:rPr>
          <w:rFonts w:ascii="Courier" w:hAnsi="Courier"/>
        </w:rPr>
        <w:t>time</w:t>
      </w:r>
      <w:r>
        <w:t xml:space="preserve"> in years from baseline (continuous); </w:t>
      </w:r>
      <w:r>
        <w:rPr>
          <w:rFonts w:ascii="Courier" w:hAnsi="Courier"/>
        </w:rPr>
        <w:t>geno_add</w:t>
      </w:r>
      <w:r>
        <w:t xml:space="preserve"> = 0/1/2 dosage.</w:t>
      </w:r>
      <w:r/>
    </w:p>
    <w:p>
      <w:pPr>
        <w:pStyle w:val="ListBullet"/>
      </w:pPr>
      <w:r>
        <w:rPr>
          <w:b/>
        </w:rPr>
        <w:t>Primary coefficient:</w:t>
      </w:r>
      <w:r>
        <w:t xml:space="preserve"> </w:t>
      </w:r>
      <w:r>
        <w:rPr>
          <w:rFonts w:ascii="Courier" w:hAnsi="Courier"/>
        </w:rPr>
        <w:t>time:geno_add</w:t>
      </w:r>
      <w:r>
        <w:t xml:space="preserve"> (mm/yr, or unit/yr, per allele), with 95% CI.</w:t>
      </w:r>
      <w:r/>
    </w:p>
    <w:p>
      <w:pPr>
        <w:pStyle w:val="ListBullet"/>
      </w:pPr>
      <w:r>
        <w:rPr>
          <w:b/>
        </w:rPr>
        <w:t>Joint 2-df test:</w:t>
      </w:r>
      <w:r>
        <w:t xml:space="preserve"> likelihood-ratio test of </w:t>
      </w:r>
      <w:r>
        <w:rPr>
          <w:rFonts w:ascii="Courier" w:hAnsi="Courier"/>
        </w:rPr>
        <w:t>geno_add</w:t>
      </w:r>
      <w:r>
        <w:t xml:space="preserve"> + </w:t>
      </w:r>
      <w:r>
        <w:rPr>
          <w:rFonts w:ascii="Courier" w:hAnsi="Courier"/>
        </w:rPr>
        <w:t>time:geno_add</w:t>
      </w:r>
      <w:r>
        <w:t xml:space="preserve"> together (Benke et al., Genet Epidemiol 2013) — recovers power when a variant shifts both baseline level and slope.</w:t>
      </w:r>
      <w:r/>
    </w:p>
    <w:p>
      <w:pPr>
        <w:pStyle w:val="ListBullet"/>
      </w:pPr>
      <w:r>
        <w:rPr>
          <w:b/>
        </w:rPr>
        <w:t>Floor/ceiling in WOMAC/KOOS:</w:t>
      </w:r>
      <w:r>
        <w:t xml:space="preserve"> consider a censored (tobit) mixed model if a large fraction sit at the score floor.</w:t>
      </w:r>
      <w:r/>
    </w:p>
    <w:p>
      <w:pPr>
        <w:pStyle w:val="ListBullet"/>
      </w:pPr>
      <w:r>
        <w:rPr>
          <w:b/>
        </w:rPr>
        <w:t>Baseline-value adjustment:</w:t>
      </w:r>
      <w:r>
        <w:t xml:space="preserve"> because the outcome is modeled longitudinally, do </w:t>
      </w:r>
      <w:r>
        <w:rPr>
          <w:i/>
        </w:rPr>
        <w:t>not</w:t>
      </w:r>
      <w:r>
        <w:t xml:space="preserve"> additionally adjust for the baseline outcome (collider/regression-to-mean risk); if a single-change-score model is used instead, include baseline as a covariate.</w:t>
      </w:r>
      <w:r/>
      <w:r/>
    </w:p>
    <w:p>
      <w:pPr>
        <w:pStyle w:val="Heading3"/>
        <w:spacing w:before="189" w:after="157"/>
      </w:pPr>
      <w:r>
        <w:t>11.2 Ordinal endpoint — KL-grade transition</w:t>
      </w:r>
      <w:r/>
    </w:p>
    <w:p>
      <w:pPr/>
      <w:r>
        <w:t>Cumulative-link mixed model (proportional-odds); test the proportional-odds assumption and fall back to a partial-proportional-odds or multinomial transition model if violated.</w:t>
      </w:r>
      <w:r/>
    </w:p>
    <w:p>
      <w:pPr/>
      <w:r>
        <w:rPr>
          <w:rFonts w:ascii="Courier" w:hAnsi="Courier"/>
        </w:rPr>
        <w:t># ordinal package</w:t>
        <w:br/>
        <w:t>clmm(kl_grade_ordered ~ time * geno_add + age0 + sex + bmi0 +</w:t>
        <w:br/>
        <w:t xml:space="preserve">       PC1 + ... + PC10 + (1 | participant/knee),</w:t>
        <w:br/>
        <w:t xml:space="preserve">     data = df, link = "logit")</w:t>
        <w:br/>
      </w:r>
      <w:r/>
      <w:r/>
    </w:p>
    <w:p>
      <w:pPr>
        <w:pStyle w:val="ListBullet"/>
      </w:pPr>
      <w:r>
        <w:rPr>
          <w:b/>
        </w:rPr>
        <w:t>Primary coefficient:</w:t>
      </w:r>
      <w:r>
        <w:t xml:space="preserve"> </w:t>
      </w:r>
      <w:r>
        <w:rPr>
          <w:rFonts w:ascii="Courier" w:hAnsi="Courier"/>
        </w:rPr>
        <w:t>time:geno_add</w:t>
      </w:r>
      <w:r>
        <w:t xml:space="preserve"> — per-allele OR for advancing one KL grade per unit time.</w:t>
      </w:r>
      <w:r/>
      <w:r/>
    </w:p>
    <w:p>
      <w:pPr>
        <w:pStyle w:val="Heading3"/>
        <w:spacing w:before="189" w:after="157"/>
      </w:pPr>
      <w:r>
        <w:t>11.3 Binary progressor — dichotomous OARSI-OMERACT responder/progressor</w:t>
      </w:r>
      <w:r/>
    </w:p>
    <w:p>
      <w:pPr/>
      <w:r>
        <w:t>GEE logistic with exchangeable working correlation, clustered on participant (accounts for two knees), or a mixed logistic model.</w:t>
      </w:r>
      <w:r/>
    </w:p>
    <w:p>
      <w:pPr/>
      <w:r>
        <w:rPr>
          <w:rFonts w:ascii="Courier" w:hAnsi="Courier"/>
        </w:rPr>
        <w:t># geepack</w:t>
        <w:br/>
        <w:t>geeglm(progressor ~ geno_add + age0 + sex + bmi0 +</w:t>
        <w:br/>
        <w:t xml:space="preserve">         PC1 + ... + PC10,</w:t>
        <w:br/>
        <w:t xml:space="preserve">       id = participant, family = binomial, corstr = "exchangeable",</w:t>
        <w:br/>
        <w:t xml:space="preserve">       data = df)</w:t>
        <w:br/>
      </w:r>
      <w:r/>
      <w:r/>
    </w:p>
    <w:p>
      <w:pPr>
        <w:pStyle w:val="ListBullet"/>
      </w:pPr>
      <w:r>
        <w:rPr>
          <w:b/>
        </w:rPr>
        <w:t>Primary coefficient:</w:t>
      </w:r>
      <w:r>
        <w:t xml:space="preserve"> </w:t>
      </w:r>
      <w:r>
        <w:rPr>
          <w:rFonts w:ascii="Courier" w:hAnsi="Courier"/>
        </w:rPr>
        <w:t>geno_add</w:t>
      </w:r>
      <w:r>
        <w:t xml:space="preserve"> — per-allele OR of being classified a progressor over the defined interval.</w:t>
      </w:r>
      <w:r/>
      <w:r/>
    </w:p>
    <w:p>
      <w:pPr>
        <w:pStyle w:val="Heading3"/>
        <w:spacing w:before="189" w:after="157"/>
      </w:pPr>
      <w:r>
        <w:t>11.4 Time-to-event — progression to KL4 or TKR</w:t>
      </w:r>
      <w:r/>
    </w:p>
    <w:p>
      <w:pPr/>
      <w:r>
        <w:t xml:space="preserve">Cox proportional hazards with shared frailty (or robust cluster-sandwich) for bilateral knees. </w:t>
      </w:r>
      <w:r>
        <w:rPr>
          <w:b/>
        </w:rPr>
        <w:t>This is the model in which the susceptibility PRS is hypothesized to perform best</w:t>
      </w:r>
      <w:r>
        <w:t xml:space="preserve"> (Rotterdam end-stage findings).</w:t>
      </w:r>
      <w:r/>
    </w:p>
    <w:p>
      <w:pPr/>
      <w:r>
        <w:rPr>
          <w:rFonts w:ascii="Courier" w:hAnsi="Courier"/>
        </w:rPr>
        <w:t># survival package</w:t>
        <w:br/>
        <w:t>coxph(Surv(time_to_event, event) ~ geno_add + age0 + sex + bmi0 +</w:t>
        <w:br/>
        <w:t xml:space="preserve">        PC1 + ... + PC10 + frailty(participant),</w:t>
        <w:br/>
        <w:t xml:space="preserve">      data = df)</w:t>
        <w:br/>
        <w:t># PRS variant:</w:t>
        <w:br/>
        <w:t>coxph(Surv(time_to_event, event) ~ prs_z + age0 + sex + bmi0 +</w:t>
        <w:br/>
        <w:t xml:space="preserve">        PC1 + ... + PC10 + frailty(participant), data = df)</w:t>
        <w:br/>
      </w:r>
      <w:r/>
      <w:r/>
    </w:p>
    <w:p>
      <w:pPr>
        <w:pStyle w:val="ListBullet"/>
      </w:pPr>
      <w:r>
        <w:rPr>
          <w:b/>
        </w:rPr>
        <w:t>Primary estimate:</w:t>
      </w:r>
      <w:r>
        <w:t xml:space="preserve"> per-allele (or per-SD-PRS) </w:t>
      </w:r>
      <w:r>
        <w:rPr>
          <w:b/>
        </w:rPr>
        <w:t>HR</w:t>
      </w:r>
      <w:r>
        <w:t xml:space="preserve"> with 95% CI.</w:t>
      </w:r>
      <w:r/>
    </w:p>
    <w:p>
      <w:pPr>
        <w:pStyle w:val="ListBullet"/>
      </w:pPr>
      <w:r>
        <w:rPr>
          <w:b/>
        </w:rPr>
        <w:t>Check</w:t>
      </w:r>
      <w:r>
        <w:t xml:space="preserve"> proportional-hazards assumption (Schoenfeld residuals); if violated, time-stratified or time-varying-coefficient Cox.</w:t>
      </w:r>
      <w:r/>
    </w:p>
    <w:p>
      <w:pPr>
        <w:pStyle w:val="ListBullet"/>
      </w:pPr>
      <w:r>
        <w:rPr>
          <w:b/>
        </w:rPr>
        <w:t>Left-truncation/survivorship:</w:t>
      </w:r>
      <w:r>
        <w:t xml:space="preserve"> OAI enrolls prevalent OA; fast progressors reaching TKR early are under-captured — acknowledge as a bias on progression-rate estimates.</w:t>
      </w:r>
      <w:r/>
      <w:r/>
    </w:p>
    <w:p>
      <w:pPr>
        <w:pStyle w:val="Heading3"/>
        <w:spacing w:before="189" w:after="157"/>
      </w:pPr>
      <w:r>
        <w:t>11.5 Mitonuclear interaction — rapid-progressor phenotype</w:t>
      </w:r>
      <w:r/>
    </w:p>
    <w:p>
      <w:pPr/>
      <w:r>
        <w:t xml:space="preserve">Logistic (binary rapid-progressor) or Cox (time-to-rapid-progression) including the </w:t>
      </w:r>
      <w:r>
        <w:rPr>
          <w:b/>
        </w:rPr>
        <w:t>TP63 × haplogroup-Uk</w:t>
      </w:r>
      <w:r>
        <w:t xml:space="preserve"> product term.</w:t>
      </w:r>
      <w:r/>
    </w:p>
    <w:p>
      <w:pPr/>
      <w:r>
        <w:rPr>
          <w:rFonts w:ascii="Courier" w:hAnsi="Courier"/>
        </w:rPr>
        <w:t>glm(rapid_progressor ~ tp63_geno * haplo_Uk + age0 + sex + bmi0 +</w:t>
        <w:br/>
        <w:t xml:space="preserve">      PC1 + ... + PC10, family = binomial, data = df)</w:t>
        <w:br/>
      </w:r>
      <w:r/>
      <w:r/>
    </w:p>
    <w:p>
      <w:pPr>
        <w:pStyle w:val="ListBullet"/>
      </w:pPr>
      <w:r>
        <w:rPr>
          <w:b/>
        </w:rPr>
        <w:t>Primary estimate:</w:t>
      </w:r>
      <w:r>
        <w:t xml:space="preserve"> the </w:t>
      </w:r>
      <w:r>
        <w:rPr>
          <w:rFonts w:ascii="Courier" w:hAnsi="Courier"/>
        </w:rPr>
        <w:t>tp63_geno:haplo_Uk</w:t>
      </w:r>
      <w:r>
        <w:t xml:space="preserve"> interaction OR (Durán-Sotuela et al. reported OR 1.67 for rapid progression).</w:t>
      </w:r>
      <w:r/>
      <w:r/>
    </w:p>
    <w:p>
      <w:pPr>
        <w:pStyle w:val="Heading3"/>
        <w:spacing w:before="189" w:after="157"/>
      </w:pPr>
      <w:r>
        <w:t>11.6 Hypothesis-free arm — longitudinal SNP-set</w:t>
      </w:r>
      <w:r/>
    </w:p>
    <w:p>
      <w:pPr/>
      <w:r>
        <w:t xml:space="preserve">Replace per-SNP models with </w:t>
      </w:r>
      <w:r>
        <w:rPr>
          <w:b/>
        </w:rPr>
        <w:t>LSKAT</w:t>
      </w:r>
      <w:r>
        <w:t xml:space="preserve"> (longitudinal sequence-kernel association test; Wang et al., Genet Epidemiol 2017), more powerful than baseline-only or averaged-outcome analyses and robust to mixed-direction effects. Genome-wide threshold P &lt; 5×10⁻⁸; accompany with Manhattan/QQ plots and genomic-inflation λ (qqman). Label discovery-only.</w:t>
      </w:r>
      <w:r/>
    </w:p>
    <w:p>
      <w:pPr>
        <w:pStyle w:val="Heading3"/>
        <w:spacing w:before="189" w:after="157"/>
      </w:pPr>
      <w:r>
        <w:t>11.7 Multiplicity and reporting</w:t>
      </w:r>
      <w:r/>
      <w:r/>
    </w:p>
    <w:p>
      <w:pPr>
        <w:pStyle w:val="ListBullet"/>
      </w:pPr>
      <w:r>
        <w:rPr>
          <w:b/>
        </w:rPr>
        <w:t>Candidate arm:</w:t>
      </w:r>
      <w:r>
        <w:t xml:space="preserve"> FDR control across the curated SNP set, reported </w:t>
      </w:r>
      <w:r>
        <w:rPr>
          <w:b/>
        </w:rPr>
        <w:t>per progression domain</w:t>
      </w:r>
      <w:r>
        <w:t xml:space="preserve"> (do not pool across symptomatic/structural/end-stage — genotype effects differ by endpoint).</w:t>
      </w:r>
      <w:r/>
    </w:p>
    <w:p>
      <w:pPr>
        <w:pStyle w:val="ListBullet"/>
      </w:pPr>
      <w:r>
        <w:rPr>
          <w:b/>
        </w:rPr>
        <w:t>PRS arm:</w:t>
      </w:r>
      <w:r>
        <w:t xml:space="preserve"> small number of pre-specified scores; report each.</w:t>
      </w:r>
      <w:r/>
    </w:p>
    <w:p>
      <w:pPr>
        <w:pStyle w:val="ListBullet"/>
      </w:pPr>
      <w:r>
        <w:rPr>
          <w:b/>
        </w:rPr>
        <w:t>GWAS arm:</w:t>
      </w:r>
      <w:r>
        <w:t xml:space="preserve"> genome-wide threshold; discovery-only.</w:t>
      </w:r>
      <w:r/>
    </w:p>
    <w:p>
      <w:pPr>
        <w:pStyle w:val="ListBullet"/>
      </w:pPr>
      <w:r>
        <w:t>Report per-allele/per-SD effect (β/OR/HR), 95% CI, model/coding, and FDR-q per endpoint.</w:t>
      </w:r>
      <w:r/>
      <w:r/>
    </w:p>
    <w:p>
      <w:pPr>
        <w:pStyle w:val="Heading3"/>
        <w:spacing w:before="189" w:after="157"/>
      </w:pPr>
      <w:r>
        <w:t>11.8 Power and precision (genetic arm)</w:t>
      </w:r>
      <w:r/>
      <w:r/>
    </w:p>
    <w:p>
      <w:pPr>
        <w:pStyle w:val="ListBullet"/>
      </w:pPr>
      <w:r>
        <w:rPr>
          <w:b/>
        </w:rPr>
        <w:t>Candidate + PRS arms:</w:t>
      </w:r>
      <w:r>
        <w:t xml:space="preserve"> with ~3,366 European-ancestry participants (realistic structural-progressor subset on the order of n ≈ 901, 276 progressors in prior OAI ML work), detectable per-allele effects are ~OR 1.4–1.6 or ~0.2 SD on a continuous slope at α = 0.05 for common variants (MAF ≥ 0.20). Adequately powered.</w:t>
      </w:r>
      <w:r/>
    </w:p>
    <w:p>
      <w:pPr>
        <w:pStyle w:val="ListBullet"/>
      </w:pPr>
      <w:r>
        <w:rPr>
          <w:b/>
        </w:rPr>
        <w:t>Underpowered</w:t>
      </w:r>
      <w:r>
        <w:t xml:space="preserve"> for OR 1.02–1.19 GWAS-locus effects at genome-wide significance (Yau et al. found no GWS hits with 3,898 radiographic-OA cases).</w:t>
      </w:r>
      <w:r/>
    </w:p>
    <w:p>
      <w:pPr>
        <w:pStyle w:val="ListBullet"/>
      </w:pPr>
      <w:r>
        <w:rPr>
          <w:b/>
        </w:rPr>
        <w:t>Recessive tests</w:t>
      </w:r>
      <w:r>
        <w:t xml:space="preserve"> lose power sharply at low MAF — interpret cautiously.</w:t>
      </w:r>
      <w:r/>
    </w:p>
    <w:p>
      <w:pPr>
        <w:pStyle w:val="ListBullet"/>
      </w:pPr>
      <w:r>
        <w:rPr>
          <w:b/>
        </w:rPr>
        <w:t>African-ancestry subset (n = 763):</w:t>
      </w:r>
      <w:r>
        <w:t xml:space="preserve"> large effects only; hypothesis-generating.</w:t>
      </w:r>
      <w:r/>
    </w:p>
    <w:p>
      <w:pPr>
        <w:pStyle w:val="ListBullet"/>
      </w:pPr>
      <w:r>
        <w:rPr>
          <w:b/>
        </w:rPr>
        <w:t>Framing:</w:t>
      </w:r>
      <w:r>
        <w:t xml:space="preserve"> OA PRS explains only ~6–21% of heritability and adds little beyond age/sex/BMI — frame PRS results mechanistically, not as clinical prediction (Sedaghati-Khayat et al. 2022; Yau &amp; Loughlin, Arthritis Rheumatol 2022).</w:t>
      </w:r>
      <w:r/>
      <w:r/>
    </w:p>
    <w:p>
      <w:pPr>
        <w:pStyle w:val="Heading3"/>
        <w:spacing w:before="189" w:after="157"/>
      </w:pPr>
      <w:r>
        <w:t>11.9 Deliverables (genetic arm)</w:t>
      </w:r>
      <w:r/>
    </w:p>
    <w:p>
      <w:pPr/>
      <w:r>
        <w:t>dbGaP/QC/imputation methods section; participant-flow diagram (genotyped → ancestry subset → QC-passed → per-endpoint analytic samples); candidate-SNP results table (per-allele effect, CI, model, FDR-q per domain); PRS association across KL-transition stages (paralleling the Rotterdam stage-dependent figure); mixed-model trajectory plots by genotype for key continuous endpoints; Manhattan/QQ plots with λ if the discovery GWAS is run.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  <w:spacing w:before="189" w:after="157"/>
      </w:pPr>
      <w:r>
        <w:t>12. Appendix — Variable mapping (model term → public OAI / dbGaP source)</w:t>
      </w:r>
      <w:r/>
    </w:p>
    <w:p>
      <w:pPr/>
      <w:r>
        <w:rPr>
          <w:b/>
        </w:rPr>
        <w:t>How to read this appendix.</w:t>
      </w:r>
      <w:r>
        <w:t xml:space="preserve"> Each model term in Sections 11.1–11.6 is mapped to (a) the OAI </w:t>
      </w:r>
      <w:r>
        <w:rPr>
          <w:b/>
        </w:rPr>
        <w:t>table stem</w:t>
      </w:r>
      <w:r>
        <w:t xml:space="preserve"> that holds it, (b) a </w:t>
      </w:r>
      <w:r>
        <w:rPr>
          <w:b/>
        </w:rPr>
        <w:t>representative variable name</w:t>
      </w:r>
      <w:r>
        <w:t xml:space="preserve">, and (c) the </w:t>
      </w:r>
      <w:r>
        <w:rPr>
          <w:b/>
        </w:rPr>
        <w:t>visit(s)</w:t>
      </w:r>
      <w:r>
        <w:t xml:space="preserve"> required. Table stems are literature-confirmed and stable across releases; </w:t>
      </w:r>
      <w:r>
        <w:rPr>
          <w:b/>
        </w:rPr>
        <w:t>exact variable strings are representative and version-dependent</w:t>
      </w:r>
      <w:r>
        <w:t xml:space="preserve"> — verify every string against the </w:t>
      </w:r>
      <w:r>
        <w:rPr>
          <w:i/>
        </w:rPr>
        <w:t>OAI Data Users Guide</w:t>
      </w:r>
      <w:r>
        <w:t xml:space="preserve"> and the NDA data-structure listings for your specific release before coding. Genotype/dosage terms live outside the clinical portal (dbGaP, controlled-access) and are joined via a bridging ID file (see 12.4).</w:t>
      </w:r>
      <w:r/>
    </w:p>
    <w:p>
      <w:pPr>
        <w:pStyle w:val="Heading3"/>
        <w:spacing w:before="189" w:after="157"/>
      </w:pPr>
      <w:r>
        <w:t>12.1 Master crosswalk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 term (Section 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OAI source table (stem)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Representative variable(s)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Visit / level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time</w:t>
            </w:r>
          </w:p>
        </w:tc>
        <w:tc>
          <w:tcPr>
            <w:tcW w:type="dxa" w:w="1728"/>
          </w:tcPr>
          <w:p>
            <w:r>
              <w:t>Continuous years from baseline</w:t>
            </w:r>
          </w:p>
        </w:tc>
        <w:tc>
          <w:tcPr>
            <w:tcW w:type="dxa" w:w="1728"/>
          </w:tcPr>
          <w:p>
            <w:r>
              <w:t>Visit metadata / any per-visit table</w:t>
            </w:r>
          </w:p>
        </w:tc>
        <w:tc>
          <w:tcPr>
            <w:tcW w:type="dxa" w:w="1728"/>
          </w:tcPr>
          <w:p>
            <w:r>
              <w:t xml:space="preserve">Visit code </w:t>
            </w:r>
            <w:r>
              <w:rPr>
                <w:rFonts w:ascii="Courier" w:hAnsi="Courier"/>
              </w:rPr>
              <w:t>V##</w:t>
            </w:r>
            <w:r>
              <w:t xml:space="preserve"> + assessment date ( </w:t>
            </w:r>
            <w:r>
              <w:rPr>
                <w:rFonts w:ascii="Courier" w:hAnsi="Courier"/>
              </w:rPr>
              <w:t>V##ACDATE</w:t>
            </w:r>
            <w:r>
              <w:t xml:space="preserve"> /version date); convert code→months (see 12.3)</w:t>
            </w:r>
          </w:p>
        </w:tc>
        <w:tc>
          <w:tcPr>
            <w:tcW w:type="dxa" w:w="1728"/>
          </w:tcPr>
          <w:p>
            <w:r>
              <w:t>Person × visit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outcome</w:t>
            </w:r>
            <w:r>
              <w:t xml:space="preserve"> — minimum JSW / medial JSN</w:t>
            </w:r>
          </w:p>
        </w:tc>
        <w:tc>
          <w:tcPr>
            <w:tcW w:type="dxa" w:w="1728"/>
          </w:tcPr>
          <w:p>
            <w:r>
              <w:t>Continuous structural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kXR_QJSW##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V##MCMJSW</w:t>
            </w:r>
            <w:r>
              <w:t xml:space="preserve"> (medial compartment min JSW), fixed-flexion</w:t>
            </w:r>
          </w:p>
        </w:tc>
        <w:tc>
          <w:tcPr>
            <w:tcW w:type="dxa" w:w="1728"/>
          </w:tcPr>
          <w:p>
            <w:r>
              <w:t>Knee × visit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outcome</w:t>
            </w:r>
            <w:r>
              <w:t xml:space="preserve"> — KL grade</w:t>
            </w:r>
          </w:p>
        </w:tc>
        <w:tc>
          <w:tcPr>
            <w:tcW w:type="dxa" w:w="1728"/>
          </w:tcPr>
          <w:p>
            <w:r>
              <w:t>Ordinal structural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kXR_SQ_BU##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V##XRKL</w:t>
            </w:r>
          </w:p>
        </w:tc>
        <w:tc>
          <w:tcPr>
            <w:tcW w:type="dxa" w:w="1728"/>
          </w:tcPr>
          <w:p>
            <w:r>
              <w:t>Knee × visit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outcome</w:t>
            </w:r>
            <w:r>
              <w:t xml:space="preserve"> — cartilage thickness/volume</w:t>
            </w:r>
          </w:p>
        </w:tc>
        <w:tc>
          <w:tcPr>
            <w:tcW w:type="dxa" w:w="1728"/>
          </w:tcPr>
          <w:p>
            <w:r>
              <w:t>Continuous MRI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kMRI_QCart_Eckstein##</w:t>
            </w:r>
          </w:p>
        </w:tc>
        <w:tc>
          <w:tcPr>
            <w:tcW w:type="dxa" w:w="1728"/>
          </w:tcPr>
          <w:p>
            <w:r>
              <w:t xml:space="preserve">e.g. </w:t>
            </w:r>
            <w:r>
              <w:rPr>
                <w:rFonts w:ascii="Courier" w:hAnsi="Courier"/>
              </w:rPr>
              <w:t>V##MCMFTHCTH</w:t>
            </w:r>
            <w:r>
              <w:t xml:space="preserve"> (medial femorotibial ThCtAB)</w:t>
            </w:r>
          </w:p>
        </w:tc>
        <w:tc>
          <w:tcPr>
            <w:tcW w:type="dxa" w:w="1728"/>
          </w:tcPr>
          <w:p>
            <w:r>
              <w:t>Knee × visit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outcome</w:t>
            </w:r>
            <w:r>
              <w:t xml:space="preserve"> — cartilage T2</w:t>
            </w:r>
          </w:p>
        </w:tc>
        <w:tc>
          <w:tcPr>
            <w:tcW w:type="dxa" w:w="1728"/>
          </w:tcPr>
          <w:p>
            <w:r>
              <w:t>Continuous MRI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kMRI_QCart</w:t>
            </w:r>
            <w:r>
              <w:t xml:space="preserve"> T2 project table</w:t>
            </w:r>
          </w:p>
        </w:tc>
        <w:tc>
          <w:tcPr>
            <w:tcW w:type="dxa" w:w="1728"/>
          </w:tcPr>
          <w:p>
            <w:r>
              <w:t>T2 region variables (per release)</w:t>
            </w:r>
          </w:p>
        </w:tc>
        <w:tc>
          <w:tcPr>
            <w:tcW w:type="dxa" w:w="1728"/>
          </w:tcPr>
          <w:p>
            <w:r>
              <w:t>Knee × visit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outcome</w:t>
            </w:r>
            <w:r>
              <w:t xml:space="preserve"> — MOAKS/WORMS worsening</w:t>
            </w:r>
          </w:p>
        </w:tc>
        <w:tc>
          <w:tcPr>
            <w:tcW w:type="dxa" w:w="1728"/>
          </w:tcPr>
          <w:p>
            <w:r>
              <w:t>Semiquant MRI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kMRI_SQ_MOAKS_BICL##</w:t>
            </w:r>
          </w:p>
        </w:tc>
        <w:tc>
          <w:tcPr>
            <w:tcW w:type="dxa" w:w="1728"/>
          </w:tcPr>
          <w:p>
            <w:r>
              <w:t>MOAKS cartilage/BML sub-scores</w:t>
            </w:r>
          </w:p>
        </w:tc>
        <w:tc>
          <w:tcPr>
            <w:tcW w:type="dxa" w:w="1728"/>
          </w:tcPr>
          <w:p>
            <w:r>
              <w:t>Knee × visit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outcome</w:t>
            </w:r>
            <w:r>
              <w:t xml:space="preserve"> — WOMAC pain / function</w:t>
            </w:r>
          </w:p>
        </w:tc>
        <w:tc>
          <w:tcPr>
            <w:tcW w:type="dxa" w:w="1728"/>
          </w:tcPr>
          <w:p>
            <w:r>
              <w:t>Continuous symptomatic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AllClinical##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V##WOMKP[R/L]</w:t>
            </w:r>
            <w:r>
              <w:t xml:space="preserve"> (pain), </w:t>
            </w:r>
            <w:r>
              <w:rPr>
                <w:rFonts w:ascii="Courier" w:hAnsi="Courier"/>
              </w:rPr>
              <w:t>V##WOMADL[R/L]</w:t>
            </w:r>
            <w:r>
              <w:t xml:space="preserve"> (function), </w:t>
            </w:r>
            <w:r>
              <w:rPr>
                <w:rFonts w:ascii="Courier" w:hAnsi="Courier"/>
              </w:rPr>
              <w:t>V##WOMTS[R/L]</w:t>
            </w:r>
            <w:r>
              <w:t xml:space="preserve"> (total)</w:t>
            </w:r>
          </w:p>
        </w:tc>
        <w:tc>
          <w:tcPr>
            <w:tcW w:type="dxa" w:w="1728"/>
          </w:tcPr>
          <w:p>
            <w:r>
              <w:t>Person × visit, side-specific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outcome</w:t>
            </w:r>
            <w:r>
              <w:t xml:space="preserve"> — KOOS (if used)</w:t>
            </w:r>
          </w:p>
        </w:tc>
        <w:tc>
          <w:tcPr>
            <w:tcW w:type="dxa" w:w="1728"/>
          </w:tcPr>
          <w:p>
            <w:r>
              <w:t>Continuous symptomatic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AllClinical##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V##KOOS...</w:t>
            </w:r>
            <w:r>
              <w:t xml:space="preserve"> domain scores</w:t>
            </w:r>
          </w:p>
        </w:tc>
        <w:tc>
          <w:tcPr>
            <w:tcW w:type="dxa" w:w="1728"/>
          </w:tcPr>
          <w:p>
            <w:r>
              <w:t>Person × visit, side-specific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progressor</w:t>
            </w:r>
            <w:r>
              <w:t xml:space="preserve"> — OARSI-OMERACT / FNIH</w:t>
            </w:r>
          </w:p>
        </w:tc>
        <w:tc>
          <w:tcPr>
            <w:tcW w:type="dxa" w:w="1728"/>
          </w:tcPr>
          <w:p>
            <w:r>
              <w:t>Binary</w:t>
            </w:r>
          </w:p>
        </w:tc>
        <w:tc>
          <w:tcPr>
            <w:tcW w:type="dxa" w:w="1728"/>
          </w:tcPr>
          <w:p>
            <w:r>
              <w:t xml:space="preserve">Derived from </w:t>
            </w:r>
            <w:r>
              <w:rPr>
                <w:rFonts w:ascii="Courier" w:hAnsi="Courier"/>
              </w:rPr>
              <w:t>kXR_QJSW##</w:t>
            </w:r>
            <w:r>
              <w:t xml:space="preserve"> + </w:t>
            </w:r>
            <w:r>
              <w:rPr>
                <w:rFonts w:ascii="Courier" w:hAnsi="Courier"/>
              </w:rPr>
              <w:t>AllClinical##</w:t>
            </w:r>
          </w:p>
        </w:tc>
        <w:tc>
          <w:tcPr>
            <w:tcW w:type="dxa" w:w="1728"/>
          </w:tcPr>
          <w:p>
            <w:r>
              <w:t>composite of JSW loss + WOMAC pain</w:t>
            </w:r>
          </w:p>
        </w:tc>
        <w:tc>
          <w:tcPr>
            <w:tcW w:type="dxa" w:w="1728"/>
          </w:tcPr>
          <w:p>
            <w:r>
              <w:t>Knee-level derived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time_to_event</w:t>
            </w:r>
            <w:r>
              <w:t xml:space="preserve"> , </w:t>
            </w:r>
            <w:r>
              <w:rPr>
                <w:rFonts w:ascii="Courier" w:hAnsi="Courier"/>
              </w:rPr>
              <w:t>event</w:t>
            </w:r>
            <w:r>
              <w:t xml:space="preserve"> — KL4 / TKR</w:t>
            </w:r>
          </w:p>
        </w:tc>
        <w:tc>
          <w:tcPr>
            <w:tcW w:type="dxa" w:w="1728"/>
          </w:tcPr>
          <w:p>
            <w:r>
              <w:t>Time-to-event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Outcomes99</w:t>
            </w:r>
            <w:r>
              <w:t xml:space="preserve"> (+ </w:t>
            </w:r>
            <w:r>
              <w:rPr>
                <w:rFonts w:ascii="Courier" w:hAnsi="Courier"/>
              </w:rPr>
              <w:t>kXR_SQ_BU##</w:t>
            </w:r>
            <w:r>
              <w:t xml:space="preserve"> for KL4)</w:t>
            </w:r>
          </w:p>
        </w:tc>
        <w:tc>
          <w:tcPr>
            <w:tcW w:type="dxa" w:w="1728"/>
          </w:tcPr>
          <w:p>
            <w:r>
              <w:t>knee-replacement date/flag; KL=4 transition</w:t>
            </w:r>
          </w:p>
        </w:tc>
        <w:tc>
          <w:tcPr>
            <w:tcW w:type="dxa" w:w="1728"/>
          </w:tcPr>
          <w:p>
            <w:r>
              <w:t>Knee × cumulative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age0</w:t>
            </w:r>
          </w:p>
        </w:tc>
        <w:tc>
          <w:tcPr>
            <w:tcW w:type="dxa" w:w="1728"/>
          </w:tcPr>
          <w:p>
            <w:r>
              <w:t>Covariate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AllClinical00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V00AGE</w:t>
            </w:r>
          </w:p>
        </w:tc>
        <w:tc>
          <w:tcPr>
            <w:tcW w:type="dxa" w:w="1728"/>
          </w:tcPr>
          <w:p>
            <w:r>
              <w:t>Person, baseline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sex</w:t>
            </w:r>
          </w:p>
        </w:tc>
        <w:tc>
          <w:tcPr>
            <w:tcW w:type="dxa" w:w="1728"/>
          </w:tcPr>
          <w:p>
            <w:r>
              <w:t>Covariate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Enrollees.txt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P02SEX</w:t>
            </w:r>
          </w:p>
        </w:tc>
        <w:tc>
          <w:tcPr>
            <w:tcW w:type="dxa" w:w="1728"/>
          </w:tcPr>
          <w:p>
            <w:r>
              <w:t>Person, fixed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bmi0</w:t>
            </w:r>
          </w:p>
        </w:tc>
        <w:tc>
          <w:tcPr>
            <w:tcW w:type="dxa" w:w="1728"/>
          </w:tcPr>
          <w:p>
            <w:r>
              <w:t>Covariate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AllClinical00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V00BMI</w:t>
            </w:r>
            <w:r>
              <w:t xml:space="preserve"> (or height/weight </w:t>
            </w:r>
            <w:r>
              <w:rPr>
                <w:rFonts w:ascii="Courier" w:hAnsi="Courier"/>
              </w:rPr>
              <w:t>V00HEIGHT</w:t>
            </w:r>
            <w:r>
              <w:t xml:space="preserve"> / </w:t>
            </w:r>
            <w:r>
              <w:rPr>
                <w:rFonts w:ascii="Courier" w:hAnsi="Courier"/>
              </w:rPr>
              <w:t>V00WEIGHT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>Person, baseline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PC1–PC10</w:t>
            </w:r>
          </w:p>
        </w:tc>
        <w:tc>
          <w:tcPr>
            <w:tcW w:type="dxa" w:w="1728"/>
          </w:tcPr>
          <w:p>
            <w:r>
              <w:t>Ancestry covariates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Derived</w:t>
            </w:r>
            <w:r>
              <w:t xml:space="preserve"> from dbGaP genotypes</w:t>
            </w:r>
          </w:p>
        </w:tc>
        <w:tc>
          <w:tcPr>
            <w:tcW w:type="dxa" w:w="1728"/>
          </w:tcPr>
          <w:p>
            <w:r>
              <w:t>principal components you compute post-QC</w:t>
            </w:r>
          </w:p>
        </w:tc>
        <w:tc>
          <w:tcPr>
            <w:tcW w:type="dxa" w:w="1728"/>
          </w:tcPr>
          <w:p>
            <w:r>
              <w:t>Person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geno_add</w:t>
            </w:r>
          </w:p>
        </w:tc>
        <w:tc>
          <w:tcPr>
            <w:tcW w:type="dxa" w:w="1728"/>
          </w:tcPr>
          <w:p>
            <w:r>
              <w:t>Exposure (0/1/2 dosage)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dbGaP</w:t>
            </w:r>
            <w:r>
              <w:t xml:space="preserve"> imputed VCF (controlled)</w:t>
            </w:r>
          </w:p>
        </w:tc>
        <w:tc>
          <w:tcPr>
            <w:tcW w:type="dxa" w:w="1728"/>
          </w:tcPr>
          <w:p>
            <w:r>
              <w:t xml:space="preserve">per-SNP dosage ( </w:t>
            </w:r>
            <w:r>
              <w:rPr>
                <w:rFonts w:ascii="Courier" w:hAnsi="Courier"/>
              </w:rPr>
              <w:t>DS</w:t>
            </w:r>
            <w:r>
              <w:t xml:space="preserve"> ) from your imputation</w:t>
            </w:r>
          </w:p>
        </w:tc>
        <w:tc>
          <w:tcPr>
            <w:tcW w:type="dxa" w:w="1728"/>
          </w:tcPr>
          <w:p>
            <w:r>
              <w:t>Person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haplo_Uk</w:t>
            </w:r>
            <w:r>
              <w:t xml:space="preserve"> (11.5)</w:t>
            </w:r>
          </w:p>
        </w:tc>
        <w:tc>
          <w:tcPr>
            <w:tcW w:type="dxa" w:w="1728"/>
          </w:tcPr>
          <w:p>
            <w:r>
              <w:t>mtDNA haplogroup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dbGaP</w:t>
            </w:r>
            <w:r>
              <w:t xml:space="preserve"> genotypes / mtDNA calls</w:t>
            </w:r>
          </w:p>
        </w:tc>
        <w:tc>
          <w:tcPr>
            <w:tcW w:type="dxa" w:w="1728"/>
          </w:tcPr>
          <w:p>
            <w:r>
              <w:t>haplogroup assignment you derive</w:t>
            </w:r>
          </w:p>
        </w:tc>
        <w:tc>
          <w:tcPr>
            <w:tcW w:type="dxa" w:w="1728"/>
          </w:tcPr>
          <w:p>
            <w:r>
              <w:t>Person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prs_z</w:t>
            </w:r>
          </w:p>
        </w:tc>
        <w:tc>
          <w:tcPr>
            <w:tcW w:type="dxa" w:w="1728"/>
          </w:tcPr>
          <w:p>
            <w:r>
              <w:t>Standardized PRS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Derived</w:t>
            </w:r>
            <w:r>
              <w:t xml:space="preserve"> from dbGaP dosages</w:t>
            </w:r>
          </w:p>
        </w:tc>
        <w:tc>
          <w:tcPr>
            <w:tcW w:type="dxa" w:w="1728"/>
          </w:tcPr>
          <w:p>
            <w:r>
              <w:t>PRS you compute, then z-standardize</w:t>
            </w:r>
          </w:p>
        </w:tc>
        <w:tc>
          <w:tcPr>
            <w:tcW w:type="dxa" w:w="1728"/>
          </w:tcPr>
          <w:p>
            <w:r>
              <w:t>Person</w:t>
            </w:r>
          </w:p>
        </w:tc>
      </w:tr>
      <w:tr>
        <w:tc>
          <w:tcPr>
            <w:tcW w:type="dxa" w:w="1728"/>
          </w:tcPr>
          <w:p>
            <w:r>
              <w:t>Accelerometer endpoints (functional)</w:t>
            </w:r>
          </w:p>
        </w:tc>
        <w:tc>
          <w:tcPr>
            <w:tcW w:type="dxa" w:w="1728"/>
          </w:tcPr>
          <w:p>
            <w:r>
              <w:t>Continuous</w:t>
            </w:r>
          </w:p>
        </w:tc>
        <w:tc>
          <w:tcPr>
            <w:tcW w:type="dxa" w:w="1728"/>
          </w:tcPr>
          <w:p>
            <w:r>
              <w:t>Physical-activity accelerometer ancillary</w:t>
            </w:r>
          </w:p>
        </w:tc>
        <w:tc>
          <w:tcPr>
            <w:tcW w:type="dxa" w:w="1728"/>
          </w:tcPr>
          <w:p>
            <w:r>
              <w:t>count/MVPA/step variables (48-mo substudy)</w:t>
            </w:r>
          </w:p>
        </w:tc>
        <w:tc>
          <w:tcPr>
            <w:tcW w:type="dxa" w:w="1728"/>
          </w:tcPr>
          <w:p>
            <w:r>
              <w:t>Person, 48-mo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" w:hAnsi="Courier"/>
              </w:rPr>
              <w:t>PASE</w:t>
            </w:r>
          </w:p>
        </w:tc>
        <w:tc>
          <w:tcPr>
            <w:tcW w:type="dxa" w:w="1728"/>
          </w:tcPr>
          <w:p>
            <w:r>
              <w:t>Self-report activity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AllClinical##</w:t>
            </w:r>
          </w:p>
        </w:tc>
        <w:tc>
          <w:tcPr>
            <w:tcW w:type="dxa" w:w="1728"/>
          </w:tcPr>
          <w:p>
            <w:r>
              <w:rPr>
                <w:rFonts w:ascii="Courier" w:hAnsi="Courier"/>
              </w:rPr>
              <w:t>V##PASE</w:t>
            </w:r>
          </w:p>
        </w:tc>
        <w:tc>
          <w:tcPr>
            <w:tcW w:type="dxa" w:w="1728"/>
          </w:tcPr>
          <w:p>
            <w:r>
              <w:t>Person × visit</w:t>
            </w:r>
          </w:p>
        </w:tc>
      </w:tr>
    </w:tbl>
    <w:p>
      <w:r/>
    </w:p>
    <w:p>
      <w:pPr>
        <w:pStyle w:val="Heading3"/>
        <w:spacing w:before="189" w:after="157"/>
      </w:pPr>
      <w:r>
        <w:t>12.2 Keys and join discipline</w:t>
      </w:r>
      <w:r/>
      <w:r/>
    </w:p>
    <w:p>
      <w:pPr>
        <w:pStyle w:val="ListBullet"/>
      </w:pPr>
      <w:r>
        <w:rPr>
          <w:b/>
        </w:rPr>
        <w:t>Person-level key:</w:t>
      </w:r>
      <w:r>
        <w:t xml:space="preserve"> </w:t>
      </w:r>
      <w:r>
        <w:rPr>
          <w:rFonts w:ascii="Courier" w:hAnsi="Courier"/>
        </w:rPr>
        <w:t>ID</w:t>
      </w:r>
      <w:r>
        <w:t xml:space="preserve"> (participant). </w:t>
      </w:r>
      <w:r>
        <w:rPr>
          <w:b/>
        </w:rPr>
        <w:t>Knee-level key:</w:t>
      </w:r>
      <w:r>
        <w:t xml:space="preserve"> </w:t>
      </w:r>
      <w:r>
        <w:rPr>
          <w:rFonts w:ascii="Courier" w:hAnsi="Courier"/>
        </w:rPr>
        <w:t>ID</w:t>
      </w:r>
      <w:r>
        <w:t xml:space="preserve"> + </w:t>
      </w:r>
      <w:r>
        <w:rPr>
          <w:rFonts w:ascii="Courier" w:hAnsi="Courier"/>
        </w:rPr>
        <w:t>SIDE</w:t>
      </w:r>
      <w:r>
        <w:t xml:space="preserve"> (1 = right, 2 = left). All imaging (</w:t>
      </w:r>
      <w:r>
        <w:rPr>
          <w:rFonts w:ascii="Courier" w:hAnsi="Courier"/>
        </w:rPr>
        <w:t>kXR_*</w:t>
      </w:r>
      <w:r>
        <w:t xml:space="preserve">, </w:t>
      </w:r>
      <w:r>
        <w:rPr>
          <w:rFonts w:ascii="Courier" w:hAnsi="Courier"/>
        </w:rPr>
        <w:t>kMRI_*</w:t>
      </w:r>
      <w:r>
        <w:t xml:space="preserve">) and side-specific WOMAC are </w:t>
      </w:r>
      <w:r>
        <w:rPr>
          <w:b/>
        </w:rPr>
        <w:t>knee-level</w:t>
      </w:r>
      <w:r>
        <w:t xml:space="preserve">; PASE, accelerometer, age, sex, BMI, PCs, and genotype are </w:t>
      </w:r>
      <w:r>
        <w:rPr>
          <w:b/>
        </w:rPr>
        <w:t>person-level</w:t>
      </w:r>
      <w:r>
        <w:t xml:space="preserve"> and must be broadcast to both knees on join.</w:t>
      </w:r>
      <w:r/>
    </w:p>
    <w:p>
      <w:pPr>
        <w:pStyle w:val="ListBullet"/>
      </w:pPr>
      <w:r>
        <w:rPr>
          <w:b/>
        </w:rPr>
        <w:t>Long-format assembly:</w:t>
      </w:r>
      <w:r>
        <w:t xml:space="preserve"> stack each per-visit table (</w:t>
      </w:r>
      <w:r>
        <w:rPr>
          <w:rFonts w:ascii="Courier" w:hAnsi="Courier"/>
        </w:rPr>
        <w:t>AllClinical00…10</w:t>
      </w:r>
      <w:r>
        <w:t xml:space="preserve">, </w:t>
      </w:r>
      <w:r>
        <w:rPr>
          <w:rFonts w:ascii="Courier" w:hAnsi="Courier"/>
        </w:rPr>
        <w:t>kXR_QJSW00…</w:t>
      </w:r>
      <w:r>
        <w:t xml:space="preserve">, etc.) into one long table keyed on </w:t>
      </w:r>
      <w:r>
        <w:rPr>
          <w:rFonts w:ascii="Courier" w:hAnsi="Courier"/>
        </w:rPr>
        <w:t>ID</w:t>
      </w:r>
      <w:r>
        <w:t>(+</w:t>
      </w:r>
      <w:r>
        <w:rPr>
          <w:rFonts w:ascii="Courier" w:hAnsi="Courier"/>
        </w:rPr>
        <w:t>SIDE</w:t>
      </w:r>
      <w:r>
        <w:t>)+</w:t>
      </w:r>
      <w:r>
        <w:rPr>
          <w:rFonts w:ascii="Courier" w:hAnsi="Courier"/>
        </w:rPr>
        <w:t>visit</w:t>
      </w:r>
      <w:r>
        <w:t xml:space="preserve">, so </w:t>
      </w:r>
      <w:r>
        <w:rPr>
          <w:rFonts w:ascii="Courier" w:hAnsi="Courier"/>
        </w:rPr>
        <w:t>time</w:t>
      </w:r>
      <w:r>
        <w:t xml:space="preserve"> and the repeated outcome align row-for-row for the mixed models in 11.1–11.2.</w:t>
      </w:r>
      <w:r/>
    </w:p>
    <w:p>
      <w:pPr>
        <w:pStyle w:val="ListBullet"/>
      </w:pPr>
      <w:r>
        <w:rPr>
          <w:b/>
        </w:rPr>
        <w:t>Composite endpoints (FNIH/esKOA):</w:t>
      </w:r>
      <w:r>
        <w:t xml:space="preserve"> merge </w:t>
      </w:r>
      <w:r>
        <w:rPr>
          <w:rFonts w:ascii="Courier" w:hAnsi="Courier"/>
        </w:rPr>
        <w:t>kXR_QJSW##</w:t>
      </w:r>
      <w:r>
        <w:t xml:space="preserve"> (knee-level JSW) to </w:t>
      </w:r>
      <w:r>
        <w:rPr>
          <w:rFonts w:ascii="Courier" w:hAnsi="Courier"/>
        </w:rPr>
        <w:t>AllClinical##</w:t>
      </w:r>
      <w:r>
        <w:t xml:space="preserve"> (person-level WOMAC) on </w:t>
      </w:r>
      <w:r>
        <w:rPr>
          <w:rFonts w:ascii="Courier" w:hAnsi="Courier"/>
        </w:rPr>
        <w:t>ID</w:t>
      </w:r>
      <w:r>
        <w:t>+</w:t>
      </w:r>
      <w:r>
        <w:rPr>
          <w:rFonts w:ascii="Courier" w:hAnsi="Courier"/>
        </w:rPr>
        <w:t>SIDE</w:t>
      </w:r>
      <w:r>
        <w:t>, being explicit that WOMAC is stored per side — confirm you are pairing the correct knee's pain with the correct knee's JSW.</w:t>
      </w:r>
      <w:r/>
    </w:p>
    <w:p>
      <w:pPr>
        <w:pStyle w:val="ListBullet"/>
      </w:pPr>
      <w:r>
        <w:rPr>
          <w:b/>
        </w:rPr>
        <w:t>TKR endpoint:</w:t>
      </w:r>
      <w:r>
        <w:t xml:space="preserve"> </w:t>
      </w:r>
      <w:r>
        <w:rPr>
          <w:rFonts w:ascii="Courier" w:hAnsi="Courier"/>
        </w:rPr>
        <w:t>Outcomes99</w:t>
      </w:r>
      <w:r>
        <w:t xml:space="preserve"> is cumulative/adjudicated; derive </w:t>
      </w:r>
      <w:r>
        <w:rPr>
          <w:rFonts w:ascii="Courier" w:hAnsi="Courier"/>
        </w:rPr>
        <w:t>time_to_event</w:t>
      </w:r>
      <w:r>
        <w:t xml:space="preserve"> as (event date − baseline date) and censor at last known contact, then attach to the knee-level analytic frame on </w:t>
      </w:r>
      <w:r>
        <w:rPr>
          <w:rFonts w:ascii="Courier" w:hAnsi="Courier"/>
        </w:rPr>
        <w:t>ID</w:t>
      </w:r>
      <w:r>
        <w:t>+</w:t>
      </w:r>
      <w:r>
        <w:rPr>
          <w:rFonts w:ascii="Courier" w:hAnsi="Courier"/>
        </w:rPr>
        <w:t>SIDE</w:t>
      </w:r>
      <w:r>
        <w:t>.</w:t>
      </w:r>
      <w:r/>
      <w:r/>
    </w:p>
    <w:p>
      <w:pPr>
        <w:pStyle w:val="Heading3"/>
        <w:spacing w:before="189" w:after="157"/>
      </w:pPr>
      <w:r>
        <w:t>12.3 Visit-code → month mapping (a recurring pitfall)</w:t>
      </w:r>
      <w:r/>
    </w:p>
    <w:p>
      <w:pPr/>
      <w:r>
        <w:t xml:space="preserve">The </w:t>
      </w:r>
      <w:r>
        <w:rPr>
          <w:rFonts w:ascii="Courier" w:hAnsi="Courier"/>
        </w:rPr>
        <w:t>V##</w:t>
      </w:r>
      <w:r>
        <w:t xml:space="preserve"> code is </w:t>
      </w:r>
      <w:r>
        <w:rPr>
          <w:b/>
        </w:rPr>
        <w:t>not</w:t>
      </w:r>
      <w:r>
        <w:t xml:space="preserve"> linear in months — the annual imaging/clinical visits skip the interleaved telephone contacts: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Nominal month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V00</w:t>
            </w:r>
          </w:p>
        </w:tc>
        <w:tc>
          <w:tcPr>
            <w:tcW w:type="dxa" w:w="2880"/>
          </w:tcPr>
          <w:p>
            <w:r>
              <w:t>0 (baseline)</w:t>
            </w:r>
          </w:p>
        </w:tc>
        <w:tc>
          <w:tcPr>
            <w:tcW w:type="dxa" w:w="2880"/>
          </w:tcPr>
          <w:p>
            <w:r>
              <w:t>Clinic</w:t>
            </w:r>
          </w:p>
        </w:tc>
      </w:tr>
      <w:tr>
        <w:tc>
          <w:tcPr>
            <w:tcW w:type="dxa" w:w="2880"/>
          </w:tcPr>
          <w:p>
            <w:r>
              <w:t>V01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Clinic</w:t>
            </w:r>
          </w:p>
        </w:tc>
      </w:tr>
      <w:tr>
        <w:tc>
          <w:tcPr>
            <w:tcW w:type="dxa" w:w="2880"/>
          </w:tcPr>
          <w:p>
            <w:r>
              <w:t>V03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Clinic</w:t>
            </w:r>
          </w:p>
        </w:tc>
      </w:tr>
      <w:tr>
        <w:tc>
          <w:tcPr>
            <w:tcW w:type="dxa" w:w="2880"/>
          </w:tcPr>
          <w:p>
            <w:r>
              <w:t>V05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Clinic</w:t>
            </w:r>
          </w:p>
        </w:tc>
      </w:tr>
      <w:tr>
        <w:tc>
          <w:tcPr>
            <w:tcW w:type="dxa" w:w="2880"/>
          </w:tcPr>
          <w:p>
            <w:r>
              <w:t>V06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Clinic (accelerometer substudy)</w:t>
            </w:r>
          </w:p>
        </w:tc>
      </w:tr>
      <w:tr>
        <w:tc>
          <w:tcPr>
            <w:tcW w:type="dxa" w:w="2880"/>
          </w:tcPr>
          <w:p>
            <w:r>
              <w:t>V08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Clinic</w:t>
            </w:r>
          </w:p>
        </w:tc>
      </w:tr>
      <w:tr>
        <w:tc>
          <w:tcPr>
            <w:tcW w:type="dxa" w:w="2880"/>
          </w:tcPr>
          <w:p>
            <w:r>
              <w:t>V10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Clinic (walking survey)</w:t>
            </w:r>
          </w:p>
        </w:tc>
      </w:tr>
    </w:tbl>
    <w:p>
      <w:r/>
    </w:p>
    <w:p>
      <w:pPr/>
      <w:r>
        <w:t xml:space="preserve">(V02/V04/V07/V09 are telephone contacts.) Build </w:t>
      </w:r>
      <w:r>
        <w:rPr>
          <w:rFonts w:ascii="Courier" w:hAnsi="Courier"/>
        </w:rPr>
        <w:t>time</w:t>
      </w:r>
      <w:r>
        <w:t xml:space="preserve"> from the actual assessment </w:t>
      </w:r>
      <w:r>
        <w:rPr>
          <w:b/>
        </w:rPr>
        <w:t>date</w:t>
      </w:r>
      <w:r>
        <w:t xml:space="preserve"> where available rather than assuming the nominal month, and never treat the numeric part of </w:t>
      </w:r>
      <w:r>
        <w:rPr>
          <w:rFonts w:ascii="Courier" w:hAnsi="Courier"/>
        </w:rPr>
        <w:t>V##</w:t>
      </w:r>
      <w:r>
        <w:t xml:space="preserve"> as elapsed months.</w:t>
      </w:r>
      <w:r/>
    </w:p>
    <w:p>
      <w:pPr>
        <w:pStyle w:val="Heading3"/>
        <w:spacing w:before="189" w:after="157"/>
      </w:pPr>
      <w:r>
        <w:t>12.4 Genotype access and the ID bridge</w:t>
      </w:r>
      <w:r/>
    </w:p>
    <w:p>
      <w:pPr/>
      <w:r>
        <w:t xml:space="preserve">Genotype, PRS, PC, and mtDNA terms are </w:t>
      </w:r>
      <w:r>
        <w:rPr>
          <w:b/>
        </w:rPr>
        <w:t>not</w:t>
      </w:r>
      <w:r>
        <w:t xml:space="preserve"> in the OAI clinical/NDA download. They are obtained under a separate </w:t>
      </w:r>
      <w:r>
        <w:rPr>
          <w:b/>
        </w:rPr>
        <w:t>dbGaP</w:t>
      </w:r>
      <w:r>
        <w:t xml:space="preserve"> controlled-access application; the delivered genotype sample IDs are linked to the OAI </w:t>
      </w:r>
      <w:r>
        <w:rPr>
          <w:rFonts w:ascii="Courier" w:hAnsi="Courier"/>
        </w:rPr>
        <w:t>ID</w:t>
      </w:r>
      <w:r>
        <w:t xml:space="preserve"> through the </w:t>
      </w:r>
      <w:r>
        <w:rPr>
          <w:b/>
        </w:rPr>
        <w:t>dbGaP-provided subject-sample mapping (bridging) file</w:t>
      </w:r>
      <w:r>
        <w:t>. Workflow: (1) liftover raw hg18 calls → hg19/hg38; (2) QC + impute (TOPMed recommended); (3) extract per-SNP dosage (</w:t>
      </w:r>
      <w:r>
        <w:rPr>
          <w:rFonts w:ascii="Courier" w:hAnsi="Courier"/>
        </w:rPr>
        <w:t>DS</w:t>
      </w:r>
      <w:r>
        <w:t xml:space="preserve">) for the candidate panel and compute PRS/PCs; (4) merge to the phenotype frame on </w:t>
      </w:r>
      <w:r>
        <w:rPr>
          <w:rFonts w:ascii="Courier" w:hAnsi="Courier"/>
        </w:rPr>
        <w:t>ID</w:t>
      </w:r>
      <w:r>
        <w:t xml:space="preserve"> via the bridge. Keep genotype-derived fields in a separately governed file per the dbGaP data-use agreement.</w:t>
      </w:r>
      <w:r/>
    </w:p>
    <w:p>
      <w:pPr>
        <w:pBdr>
          <w:bottom w:val="single" w:sz="6" w:space="1" w:color="auto"/>
        </w:pBdr>
      </w:pPr>
      <w:r/>
    </w:p>
    <w:p>
      <w:pPr/>
      <w:r>
        <w:rPr>
          <w:i/>
        </w:rPr>
        <w:t>Prepared as an exploratory analysis plan. Key methodological references: Song et al. (Arthritis Care Res 2010, 2013); Sun et al. (2014); Lo et al. (Arthritis Rheumatol 2022); Skender et al. (BMC Public Health 2016); Migueles et al. (Sports Med 2017); Rotondi &amp; Donner (J Clin Epidemiol 2012); Glover et al. (Qual Life Res 2026); Bentvelzen et al. (PLoS One 2024); Sedaghati-Khayat et al. (Arthritis Rheumatol 2022); Yau et al. (Arthritis Rheumatol 2017); Bonakdari et al. (BMC Med 2022); Durán-Sotuela et al. (Osteoarthritis Cartilage 2024); Benke et al. (Genet Epidemiol 2013); Wang et al. (Genet Epidemiol 2017).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57" w:line="360" w:lineRule="auto"/>
    </w:pPr>
    <w:rPr>
      <w:rFonts w:ascii="Calibri" w:hAnsi="Calibri"/>
      <w:sz w:val="3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