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36"/>
      </w:pPr>
      <w:r>
        <w:t>Defining Disease Progression in the Osteoarthritis Initiative (OAI)</w:t>
      </w:r>
    </w:p>
    <w:p>
      <w:pPr/>
      <w:r>
        <w:t xml:space="preserve">The OAI supports at least five distinct families of progression definitions — radiographic (plain film), MRI-based (quantitative and semiquantitative), clinical/symptomatic (WOMAC and related patient-reported outcomes), functional/performance-based (gait speed, chair-stand, accelerometry), and hard endpoints (total knee replacement and composite trial outcomes) — plus biomechanical measures derived from OAI ancillary substudies. A recurring and important theme is that these domains are frequently </w:t>
      </w:r>
      <w:r>
        <w:rPr>
          <w:b/>
        </w:rPr>
        <w:t>discordant</w:t>
      </w:r>
      <w:r>
        <w:t xml:space="preserve">: structural and symptomatic progression track poorly with one another, which is why the field has increasingly moved toward composite definitions (Halilaj et al., </w:t>
      </w:r>
      <w:r>
        <w:rPr>
          <w:i/>
        </w:rPr>
        <w:t>Osteoarthritis Cartilage</w:t>
      </w:r>
      <w:r>
        <w:t xml:space="preserve">, 2018; Li et al., </w:t>
      </w:r>
      <w:r>
        <w:rPr>
          <w:i/>
        </w:rPr>
        <w:t>Arthritis Res Ther</w:t>
      </w:r>
      <w:r>
        <w:t>, 2024). This review organizes the major operationalizations, their thresholds, and the anchoring literature. It focuses on tibiofemoral knee OA, which is where the OAI's radiographic protocol and the bulk of the progression literature concentrate.</w:t>
      </w:r>
      <w:r/>
    </w:p>
    <w:p>
      <w:pPr>
        <w:pStyle w:val="Heading2"/>
        <w:spacing w:before="189" w:after="157"/>
      </w:pPr>
      <w:r>
        <w:t>Radiographic (Plain Film) Definitions</w:t>
      </w:r>
      <w:r/>
    </w:p>
    <w:p>
      <w:pPr/>
      <w:r>
        <w:t xml:space="preserve">All OAI knee radiographs used a standardized </w:t>
      </w:r>
      <w:r>
        <w:rPr>
          <w:b/>
        </w:rPr>
        <w:t>bilateral posteroanterior fixed-flexion weight-bearing protocol</w:t>
      </w:r>
      <w:r>
        <w:t xml:space="preserve"> (SynaFlexer frame, 20–30° flexion, 10° caudal beam), acquired at baseline and annually through 48 months with additional readings at 72 and 96 months in subgroups (Kothari et al., </w:t>
      </w:r>
      <w:r>
        <w:rPr>
          <w:i/>
        </w:rPr>
        <w:t>Eur Radiol</w:t>
      </w:r>
      <w:r>
        <w:t xml:space="preserve">, 2004; Sharma et al., </w:t>
      </w:r>
      <w:r>
        <w:rPr>
          <w:i/>
        </w:rPr>
        <w:t>Arthritis Rheumatol</w:t>
      </w:r>
      <w:r>
        <w:t xml:space="preserve">, 2017; Hu et al., </w:t>
      </w:r>
      <w:r>
        <w:rPr>
          <w:i/>
        </w:rPr>
        <w:t>Arthritis Care Res</w:t>
      </w:r>
      <w:r>
        <w:t xml:space="preserve">, 2022). This protocol yields reproducible joint space width (JSW) measurements (short-term SD ~0.14 mm for medial JSW) (Kothari et al., </w:t>
      </w:r>
      <w:r>
        <w:rPr>
          <w:i/>
        </w:rPr>
        <w:t>Eur Radiol</w:t>
      </w:r>
      <w:r>
        <w:t>, 2004).</w:t>
      </w:r>
      <w:r/>
    </w:p>
    <w:p>
      <w:pPr/>
      <w:r>
        <w:rPr>
          <w:b/>
        </w:rPr>
        <w:t>Semiquantitative approaches</w:t>
      </w:r>
      <w:r>
        <w:t xml:space="preserve"> dominate. Kellgren–Lawrence (K/L) grade progression — typically </w:t>
      </w:r>
      <w:r>
        <w:rPr>
          <w:b/>
        </w:rPr>
        <w:t>any increase of ≥1 grade</w:t>
      </w:r>
      <w:r>
        <w:t xml:space="preserve"> from baseline to 48 months — is the single most common definition, used in roughly half of OAI radiographic studies (Joo et al., </w:t>
      </w:r>
      <w:r>
        <w:rPr>
          <w:i/>
        </w:rPr>
        <w:t>Knee Surg Sports Traumatol Arthrosc</w:t>
      </w:r>
      <w:r>
        <w:t xml:space="preserve">, 2022). Many investigators deliberately exclude the KL 0→1 transition because grade 1 is "doubtful" OA (Joseph et al., </w:t>
      </w:r>
      <w:r>
        <w:rPr>
          <w:i/>
        </w:rPr>
        <w:t>Arthritis Care Res</w:t>
      </w:r>
      <w:r>
        <w:t xml:space="preserve">, 2023). Incident radiographic OA is generally defined as crossing from KL &lt;2 to </w:t>
      </w:r>
      <w:r>
        <w:rPr>
          <w:b/>
        </w:rPr>
        <w:t>KL ≥2</w:t>
      </w:r>
      <w:r>
        <w:t xml:space="preserve"> (Sharma et al., </w:t>
      </w:r>
      <w:r>
        <w:rPr>
          <w:i/>
        </w:rPr>
        <w:t>Arthritis Rheumatol</w:t>
      </w:r>
      <w:r>
        <w:t xml:space="preserve">, 2017). The other major semiquantitative measure is </w:t>
      </w:r>
      <w:r>
        <w:rPr>
          <w:b/>
        </w:rPr>
        <w:t>OARSI atlas joint space narrowing (JSN)</w:t>
      </w:r>
      <w:r>
        <w:t xml:space="preserve"> grade (0–3, scored per compartment), with progression defined as any increase of ≥1 (partial or whole) grade, or ≥1 whole-grade medial JSN increase in more stringent definitions (Hu et al., </w:t>
      </w:r>
      <w:r>
        <w:rPr>
          <w:i/>
        </w:rPr>
        <w:t>Arthritis Care Res</w:t>
      </w:r>
      <w:r>
        <w:t xml:space="preserve">, 2022; Almhdie-Imjabbar et al., </w:t>
      </w:r>
      <w:r>
        <w:rPr>
          <w:i/>
        </w:rPr>
        <w:t>Arthritis Res Ther</w:t>
      </w:r>
      <w:r>
        <w:t xml:space="preserve">, 2022; Herrera et al., </w:t>
      </w:r>
      <w:r>
        <w:rPr>
          <w:i/>
        </w:rPr>
        <w:t>Sci Rep</w:t>
      </w:r>
      <w:r>
        <w:t>, 2026).</w:t>
      </w:r>
      <w:r/>
    </w:p>
    <w:p>
      <w:pPr/>
      <w:r>
        <w:rPr>
          <w:b/>
        </w:rPr>
        <w:t>Quantitative JSW</w:t>
      </w:r>
      <w:r>
        <w:t xml:space="preserve"> is measured with automated software (Duryea method) at fixed locations along the medial compartment, with x = 0.250 identified as the most responsive gauge (Lu et al., </w:t>
      </w:r>
      <w:r>
        <w:rPr>
          <w:i/>
        </w:rPr>
        <w:t>Arthritis Care Res</w:t>
      </w:r>
      <w:r>
        <w:t xml:space="preserve">, 2014; Minnig et al., </w:t>
      </w:r>
      <w:r>
        <w:rPr>
          <w:i/>
        </w:rPr>
        <w:t>PLoS One</w:t>
      </w:r>
      <w:r>
        <w:t xml:space="preserve">, 2025). The dominant threshold is the FNIH OA Biomarkers Consortium cutoff of </w:t>
      </w:r>
      <w:r>
        <w:rPr>
          <w:b/>
        </w:rPr>
        <w:t>medial minimum JSW loss ≥0.7 mm</w:t>
      </w:r>
      <w:r>
        <w:t xml:space="preserve"> from baseline to 24, 36, or 48 months — chosen to carry ≤10% probability of being measurement artifact, with non-progressors defined as ≤0.5 mm loss in both knees (Eckstein et al., </w:t>
      </w:r>
      <w:r>
        <w:rPr>
          <w:i/>
        </w:rPr>
        <w:t>Arthritis Rheumatol</w:t>
      </w:r>
      <w:r>
        <w:t xml:space="preserve">, 2015; Dunn et al., </w:t>
      </w:r>
      <w:r>
        <w:rPr>
          <w:i/>
        </w:rPr>
        <w:t>Sci Rep</w:t>
      </w:r>
      <w:r>
        <w:t xml:space="preserve">, 2019; Dunn et al., </w:t>
      </w:r>
      <w:r>
        <w:rPr>
          <w:i/>
        </w:rPr>
        <w:t>Arthritis Rheumatol</w:t>
      </w:r>
      <w:r>
        <w:t xml:space="preserve">, 2023). Related metrics include fixed-location JSW (fJSW, which anchors quantitative loss to semiquantitative transitions), height-standardized JSW (improved discrimination, AUC up to 0.96), and percentage JSW loss (Ratzlaff et al., </w:t>
      </w:r>
      <w:r>
        <w:rPr>
          <w:i/>
        </w:rPr>
        <w:t>Osteoarthritis Cartilage</w:t>
      </w:r>
      <w:r>
        <w:t xml:space="preserve">, 2018; Paixao et al., </w:t>
      </w:r>
      <w:r>
        <w:rPr>
          <w:i/>
        </w:rPr>
        <w:t>Osteoarthritis Cartilage</w:t>
      </w:r>
      <w:r>
        <w:t xml:space="preserve">, 2020; Nelson et al., </w:t>
      </w:r>
      <w:r>
        <w:rPr>
          <w:i/>
        </w:rPr>
        <w:t>PLoS One</w:t>
      </w:r>
      <w:r>
        <w:t>, 2021).</w:t>
      </w:r>
      <w:r/>
    </w:p>
    <w:p>
      <w:pPr/>
      <w:r>
        <w:t xml:space="preserve">A distinctive radiographic phenotype is </w:t>
      </w:r>
      <w:r>
        <w:rPr>
          <w:b/>
        </w:rPr>
        <w:t>accelerated knee OA (AKOA)</w:t>
      </w:r>
      <w:r>
        <w:t xml:space="preserve"> — progression from KL &lt;2 to </w:t>
      </w:r>
      <w:r>
        <w:rPr>
          <w:b/>
        </w:rPr>
        <w:t>KL ≥3 within 48 months</w:t>
      </w:r>
      <w:r>
        <w:t xml:space="preserve"> (often within a single year) — contrasted against "typical" KOA (any lesser KL increase) and "no KOA" (stable grade) (Driban et al., </w:t>
      </w:r>
      <w:r>
        <w:rPr>
          <w:i/>
        </w:rPr>
        <w:t>BMC Musculoskelet Disord</w:t>
      </w:r>
      <w:r>
        <w:t xml:space="preserve">, 2020; Driban et al., </w:t>
      </w:r>
      <w:r>
        <w:rPr>
          <w:i/>
        </w:rPr>
        <w:t>Arthritis Rheumatol</w:t>
      </w:r>
      <w:r>
        <w:t xml:space="preserve">, 2019; Harkey et al., </w:t>
      </w:r>
      <w:r>
        <w:rPr>
          <w:i/>
        </w:rPr>
        <w:t>BMC Musculoskelet Disord</w:t>
      </w:r>
      <w:r>
        <w:t xml:space="preserve">, 2020). AKOA affects ~3.4% of adults over four years, represents at least one in seven incident cases, and carries markedly higher subsequent TKR rates (Driban et al., </w:t>
      </w:r>
      <w:r>
        <w:rPr>
          <w:i/>
        </w:rPr>
        <w:t>BMC Musculoskelet Disord</w:t>
      </w:r>
      <w:r>
        <w:t xml:space="preserve">, 2020; Driban et al., </w:t>
      </w:r>
      <w:r>
        <w:rPr>
          <w:i/>
        </w:rPr>
        <w:t>Arthritis Rheumatol</w:t>
      </w:r>
      <w:r>
        <w:t xml:space="preserve">, 2019). </w:t>
      </w:r>
      <w:r>
        <w:rPr>
          <w:i/>
        </w:rPr>
        <w:t>(In the original review, Figure 1 from Harkey et al., BMC Musculoskelet Disord 2020, illustrated the KL-grade-based definitions distinguishing these groups.)</w:t>
      </w:r>
      <w:r/>
    </w:p>
    <w:p>
      <w:pPr/>
      <w:r>
        <w:t xml:space="preserve">Finally, </w:t>
      </w:r>
      <w:r>
        <w:rPr>
          <w:b/>
        </w:rPr>
        <w:t>trajectory-based</w:t>
      </w:r>
      <w:r>
        <w:t xml:space="preserve"> radiographic definitions move beyond binary cutoffs. Collins et al. identified three JSW trajectories over 8 years — stable (85.7%), early-progressing (8.4%, ~0.5 mm/year loss then stabilizing), and late-progressing (5.9%, accelerating after year 4) — while Bartlett et al. described seven trajectories over 2 years (Collins et al., </w:t>
      </w:r>
      <w:r>
        <w:rPr>
          <w:i/>
        </w:rPr>
        <w:t>Arthritis Care Res</w:t>
      </w:r>
      <w:r>
        <w:t xml:space="preserve">, 2021; Bartlett et al., </w:t>
      </w:r>
      <w:r>
        <w:rPr>
          <w:i/>
        </w:rPr>
        <w:t>Arthritis Care Res</w:t>
      </w:r>
      <w:r>
        <w:t xml:space="preserve">, 2011). A key caveat: a systematic review found </w:t>
      </w:r>
      <w:r>
        <w:rPr>
          <w:b/>
        </w:rPr>
        <w:t>no standardized definition</w:t>
      </w:r>
      <w:r>
        <w:t xml:space="preserve"> of radiographic progression across OAI studies, with KL used in ~50% and JSW narrowing in ~32% (Joo et al., </w:t>
      </w:r>
      <w:r>
        <w:rPr>
          <w:i/>
        </w:rPr>
        <w:t>Knee Surg Sports Traumatol Arthrosc</w:t>
      </w:r>
      <w:r>
        <w:t>, 2022).</w:t>
      </w:r>
      <w:r/>
    </w:p>
    <w:p>
      <w:pPr>
        <w:pStyle w:val="Heading2"/>
        <w:spacing w:before="189" w:after="157"/>
      </w:pPr>
      <w:r>
        <w:t>MRI-Based Definitions</w:t>
      </w:r>
      <w:r/>
    </w:p>
    <w:p>
      <w:pPr/>
      <w:r>
        <w:t>MRI definitions split into quantitative morphometry, semiquantitative whole-organ scoring, and compositional (biochemical) imaging.</w:t>
      </w:r>
      <w:r/>
    </w:p>
    <w:p>
      <w:pPr/>
      <w:r>
        <w:rPr>
          <w:b/>
        </w:rPr>
        <w:t>Quantitative cartilage morphometry</w:t>
      </w:r>
      <w:r>
        <w:t xml:space="preserve"> uses segmented sagittal 3D DESS images (Chondrometrics) to compute cartilage thickness and volume across compartments and subregions (Eckstein et al., </w:t>
      </w:r>
      <w:r>
        <w:rPr>
          <w:i/>
        </w:rPr>
        <w:t>Arthritis Rheumatol</w:t>
      </w:r>
      <w:r>
        <w:t xml:space="preserve">, 2015; Wirth et al., </w:t>
      </w:r>
      <w:r>
        <w:rPr>
          <w:i/>
        </w:rPr>
        <w:t>Arthritis Care Res</w:t>
      </w:r>
      <w:r>
        <w:t xml:space="preserve">, 2023). The central threshold is a </w:t>
      </w:r>
      <w:r>
        <w:rPr>
          <w:b/>
        </w:rPr>
        <w:t>smallest detectable change of −111 μm</w:t>
      </w:r>
      <w:r>
        <w:t xml:space="preserve"> for medial femorotibial compartment (MFTC) thickness over 24 months, below which a knee is a progressor (Wirth et al., </w:t>
      </w:r>
      <w:r>
        <w:rPr>
          <w:i/>
        </w:rPr>
        <w:t>Arthritis Care Res</w:t>
      </w:r>
      <w:r>
        <w:t xml:space="preserve">, 2023). Analytic refinements include the </w:t>
      </w:r>
      <w:r>
        <w:rPr>
          <w:b/>
        </w:rPr>
        <w:t>central MFTC (cMFTC)</w:t>
      </w:r>
      <w:r>
        <w:t xml:space="preserve"> as the most responsive region, the location-independent </w:t>
      </w:r>
      <w:r>
        <w:rPr>
          <w:b/>
        </w:rPr>
        <w:t>ordered value (OV) approach</w:t>
      </w:r>
      <w:r>
        <w:t xml:space="preserve"> that ranks the magnitude of thinning across 16 subregions regardless of location, automated segmentation tools with improved responsiveness (2-year SRM −0.67 vs −0.43 manual), and AI-derived cartilage thickness scores sensitive up to 6 years before KL progression (Wirth et al., </w:t>
      </w:r>
      <w:r>
        <w:rPr>
          <w:i/>
        </w:rPr>
        <w:t>Osteoarthritis Cartilage</w:t>
      </w:r>
      <w:r>
        <w:t xml:space="preserve">, 2017; Bricca et al., </w:t>
      </w:r>
      <w:r>
        <w:rPr>
          <w:i/>
        </w:rPr>
        <w:t>Arthritis Care Res</w:t>
      </w:r>
      <w:r>
        <w:t xml:space="preserve">, 2019; Bowes et al., </w:t>
      </w:r>
      <w:r>
        <w:rPr>
          <w:i/>
        </w:rPr>
        <w:t>J Rheumatol</w:t>
      </w:r>
      <w:r>
        <w:t xml:space="preserve">, 2020; Margain et al., </w:t>
      </w:r>
      <w:r>
        <w:rPr>
          <w:i/>
        </w:rPr>
        <w:t>Eur Radiol</w:t>
      </w:r>
      <w:r>
        <w:t xml:space="preserve">, 2026). Widespread full-thickness cartilage loss (wsFTCL), defined via MOAKS full-thickness scores ≥2, is a related morphologic endpoint (Dório et al., </w:t>
      </w:r>
      <w:r>
        <w:rPr>
          <w:i/>
        </w:rPr>
        <w:t>Osteoarthritis Cartilage</w:t>
      </w:r>
      <w:r>
        <w:t>, 2020).</w:t>
      </w:r>
      <w:r/>
    </w:p>
    <w:p>
      <w:pPr/>
      <w:r>
        <w:rPr>
          <w:b/>
        </w:rPr>
        <w:t>Semiquantitative whole-organ scoring</w:t>
      </w:r>
      <w:r>
        <w:t xml:space="preserve"> is anchored by </w:t>
      </w:r>
      <w:r>
        <w:rPr>
          <w:b/>
        </w:rPr>
        <w:t>MOAKS</w:t>
      </w:r>
      <w:r>
        <w:t xml:space="preserve">, now the most widely used instrument, which grades cartilage (two-digit area/full-thickness system), bone marrow lesions (BMLs), osteophytes, meniscal morphology and extrusion, effusion-synovitis, and Hoffa synovitis, with a "within-grade worsening" 0.5 value to boost longitudinal sensitivity (Wirth et al., </w:t>
      </w:r>
      <w:r>
        <w:rPr>
          <w:i/>
        </w:rPr>
        <w:t>Arthritis Care Res</w:t>
      </w:r>
      <w:r>
        <w:t xml:space="preserve">, 2023; Chang et al., </w:t>
      </w:r>
      <w:r>
        <w:rPr>
          <w:i/>
        </w:rPr>
        <w:t>Arthritis Rheumatol</w:t>
      </w:r>
      <w:r>
        <w:t xml:space="preserve">, 2025; Ray et al., </w:t>
      </w:r>
      <w:r>
        <w:rPr>
          <w:i/>
        </w:rPr>
        <w:t>BMC Musculoskelet Disord</w:t>
      </w:r>
      <w:r>
        <w:t xml:space="preserve">, 2025). Its predecessors — </w:t>
      </w:r>
      <w:r>
        <w:rPr>
          <w:b/>
        </w:rPr>
        <w:t>WORMS</w:t>
      </w:r>
      <w:r>
        <w:t xml:space="preserve"> (cartilage 0–6 across 14 regions) and </w:t>
      </w:r>
      <w:r>
        <w:rPr>
          <w:b/>
        </w:rPr>
        <w:t>BLOKS</w:t>
      </w:r>
      <w:r>
        <w:t xml:space="preserve"> — remain in use; a head-to-head OAI comparison favored BLOKS meniscal scoring and WORMS BML scoring for predicting cartilage loss, and MOAKS was subsequently designed to combine their strengths (Felson et al., </w:t>
      </w:r>
      <w:r>
        <w:rPr>
          <w:i/>
        </w:rPr>
        <w:t>Osteoarthritis Cartilage</w:t>
      </w:r>
      <w:r>
        <w:t xml:space="preserve">, 2010; Lynch et al., </w:t>
      </w:r>
      <w:r>
        <w:rPr>
          <w:i/>
        </w:rPr>
        <w:t>Osteoarthritis Cartilage</w:t>
      </w:r>
      <w:r>
        <w:t xml:space="preserve">, 2010; Liew et al., </w:t>
      </w:r>
      <w:r>
        <w:rPr>
          <w:i/>
        </w:rPr>
        <w:t>Arthritis Rheumatol</w:t>
      </w:r>
      <w:r>
        <w:t xml:space="preserve">, 2023; Bodden et al., </w:t>
      </w:r>
      <w:r>
        <w:rPr>
          <w:i/>
        </w:rPr>
        <w:t>Arthritis Res Ther</w:t>
      </w:r>
      <w:r>
        <w:t xml:space="preserve">, 2021). Individual features have each served as progression outcomes: BML progression (increased volume) predicts incident radiographic (HR 3.0) and symptomatic (HR 1.3) OA; effusion-synovitis worsening was among the strongest MRI predictors of combined progression (OR 2.7); and meniscal extrusion/maceration predict both structural and symptomatic progression (Moradi et al., </w:t>
      </w:r>
      <w:r>
        <w:rPr>
          <w:i/>
        </w:rPr>
        <w:t>Radiology</w:t>
      </w:r>
      <w:r>
        <w:t xml:space="preserve">, 2024; Fuggle et al., </w:t>
      </w:r>
      <w:r>
        <w:rPr>
          <w:i/>
        </w:rPr>
        <w:t>Nat Rev Rheumatol</w:t>
      </w:r>
      <w:r>
        <w:t xml:space="preserve">, 2025; Sharma et al., </w:t>
      </w:r>
      <w:r>
        <w:rPr>
          <w:i/>
        </w:rPr>
        <w:t>Osteoarthritis Cartilage</w:t>
      </w:r>
      <w:r>
        <w:t xml:space="preserve">, 2023; Antony et al., </w:t>
      </w:r>
      <w:r>
        <w:rPr>
          <w:i/>
        </w:rPr>
        <w:t>Osteoarthritis Cartilage</w:t>
      </w:r>
      <w:r>
        <w:t>, 2017).</w:t>
      </w:r>
      <w:r/>
    </w:p>
    <w:p>
      <w:pPr/>
      <w:r>
        <w:rPr>
          <w:b/>
        </w:rPr>
        <w:t>Compositional MRI</w:t>
      </w:r>
      <w:r>
        <w:t xml:space="preserve"> (T2 relaxation, T1ρ) detects pre-morphologic cartilage matrix degeneration. In the OAI, participants in the highest quartile of tibiofemoral T2 had roughly </w:t>
      </w:r>
      <w:r>
        <w:rPr>
          <w:b/>
        </w:rPr>
        <w:t>5× higher risk of incident radiographic OA</w:t>
      </w:r>
      <w:r>
        <w:t xml:space="preserve"> at 2 years, and elevated local T2 can precede cartilage lesions by up to 4 years (Razmjoo et al., </w:t>
      </w:r>
      <w:r>
        <w:rPr>
          <w:i/>
        </w:rPr>
        <w:t>J Orthop Res</w:t>
      </w:r>
      <w:r>
        <w:t xml:space="preserve">, 2021; Kretzschmar et al., </w:t>
      </w:r>
      <w:r>
        <w:rPr>
          <w:i/>
        </w:rPr>
        <w:t>Osteoarthritis Cartilage</w:t>
      </w:r>
      <w:r>
        <w:t xml:space="preserve">, 2019; Guermazi et al., </w:t>
      </w:r>
      <w:r>
        <w:rPr>
          <w:i/>
        </w:rPr>
        <w:t>Nat Rev Rheumatol</w:t>
      </w:r>
      <w:r>
        <w:t xml:space="preserve">, 2026). The RSNA QIBA profile established T2 measurability at 3T with a minimum detectable change of ~12–14% (Chalian et al., </w:t>
      </w:r>
      <w:r>
        <w:rPr>
          <w:i/>
        </w:rPr>
        <w:t>Radiology</w:t>
      </w:r>
      <w:r>
        <w:t>, 2021).</w:t>
      </w:r>
      <w:r/>
    </w:p>
    <w:p>
      <w:pPr/>
      <w:r>
        <w:t xml:space="preserve">Several </w:t>
      </w:r>
      <w:r>
        <w:rPr>
          <w:b/>
        </w:rPr>
        <w:t>composite MRI frameworks</w:t>
      </w:r>
      <w:r>
        <w:t xml:space="preserve"> integrate features: the Driban "cumulative damage" (summed cartilage damage index) and "disease activity" (summed BML + effusion-synovitis volumes) scores separate structural burden from activity, the OA-COM whole-joint score maps to KL grades, and the FNIH multivariable model combining 24-month changes in cartilage, effusion-synovitis, Hoffa synovitis, and meniscal morphology reached a C-statistic of 0.740 for predicting combined radiographic + pain progression (Driban et al., </w:t>
      </w:r>
      <w:r>
        <w:rPr>
          <w:i/>
        </w:rPr>
        <w:t>Arthritis Care Res</w:t>
      </w:r>
      <w:r>
        <w:t xml:space="preserve">, 2022; Harkey et al., </w:t>
      </w:r>
      <w:r>
        <w:rPr>
          <w:i/>
        </w:rPr>
        <w:t>BMC Musculoskelet Disord</w:t>
      </w:r>
      <w:r>
        <w:t xml:space="preserve">, 2020; Sayre et al., </w:t>
      </w:r>
      <w:r>
        <w:rPr>
          <w:i/>
        </w:rPr>
        <w:t>PLoS One</w:t>
      </w:r>
      <w:r>
        <w:t xml:space="preserve">, 2021; Collins et al., </w:t>
      </w:r>
      <w:r>
        <w:rPr>
          <w:i/>
        </w:rPr>
        <w:t>Arthritis Rheumatol</w:t>
      </w:r>
      <w:r>
        <w:t xml:space="preserve">, 2016; Fuggle et al., </w:t>
      </w:r>
      <w:r>
        <w:rPr>
          <w:i/>
        </w:rPr>
        <w:t>Nat Rev Rheumatol</w:t>
      </w:r>
      <w:r>
        <w:t xml:space="preserve">, 2025). Notably, formal </w:t>
      </w:r>
      <w:r>
        <w:rPr>
          <w:b/>
        </w:rPr>
        <w:t>MRI definitions of OA</w:t>
      </w:r>
      <w:r>
        <w:t xml:space="preserve"> (Hunter/Delphi and Liew simplified) had limited predictive validity — over half of knees meeting either definition did not develop radiographic OA over up to 11 years (Chang et al., </w:t>
      </w:r>
      <w:r>
        <w:rPr>
          <w:i/>
        </w:rPr>
        <w:t>Arthritis Rheumatol</w:t>
      </w:r>
      <w:r>
        <w:t>, 2025).</w:t>
      </w:r>
      <w:r/>
    </w:p>
    <w:p>
      <w:pPr>
        <w:pStyle w:val="Heading2"/>
        <w:spacing w:before="189" w:after="157"/>
      </w:pPr>
      <w:r>
        <w:t>Clinical / Symptomatic (WOMAC-Based) Definitions</w:t>
      </w:r>
      <w:r/>
    </w:p>
    <w:p>
      <w:pPr/>
      <w:r>
        <w:t xml:space="preserve">The </w:t>
      </w:r>
      <w:r>
        <w:rPr>
          <w:b/>
        </w:rPr>
        <w:t>FNIH OA Biomarkers Consortium pain definition</w:t>
      </w:r>
      <w:r>
        <w:t xml:space="preserve"> is the most widely adopted symptomatic endpoint: a persistent increase of </w:t>
      </w:r>
      <w:r>
        <w:rPr>
          <w:b/>
        </w:rPr>
        <w:t>≥9 points on the WOMAC pain subscale (0–100 normalized)</w:t>
      </w:r>
      <w:r>
        <w:t xml:space="preserve">, sustained at </w:t>
      </w:r>
      <w:r>
        <w:rPr>
          <w:b/>
        </w:rPr>
        <w:t>≥2 time points between 24 and 60 months</w:t>
      </w:r>
      <w:r>
        <w:t xml:space="preserve"> (Eckstein et al., </w:t>
      </w:r>
      <w:r>
        <w:rPr>
          <w:i/>
        </w:rPr>
        <w:t>Arthritis Rheumatol</w:t>
      </w:r>
      <w:r>
        <w:t xml:space="preserve">, 2015; Collins et al., </w:t>
      </w:r>
      <w:r>
        <w:rPr>
          <w:i/>
        </w:rPr>
        <w:t>Arthritis Rheumatol</w:t>
      </w:r>
      <w:r>
        <w:t xml:space="preserve">, 2016; Hunter et al., </w:t>
      </w:r>
      <w:r>
        <w:rPr>
          <w:i/>
        </w:rPr>
        <w:t>Arthritis Care Res</w:t>
      </w:r>
      <w:r>
        <w:t xml:space="preserve">, 2022). The 9-point threshold derives from the WOMAC pain MCID (Eckstein et al., </w:t>
      </w:r>
      <w:r>
        <w:rPr>
          <w:i/>
        </w:rPr>
        <w:t>Arthritis Rheumatol</w:t>
      </w:r>
      <w:r>
        <w:t xml:space="preserve">, 2015). Crucially, the Consortium paired this with the radiographic ≥0.7 mm JSW criterion to create </w:t>
      </w:r>
      <w:r>
        <w:rPr>
          <w:b/>
        </w:rPr>
        <w:t>four mutually exclusive groups</w:t>
      </w:r>
      <w:r>
        <w:t xml:space="preserve"> — both radiographic + pain progression (n=194), radiographic only (n=103), pain only (n=103), neither (n=200) — with the "composite case" contrast as the primary analysis (Collins et al., </w:t>
      </w:r>
      <w:r>
        <w:rPr>
          <w:i/>
        </w:rPr>
        <w:t>Arthritis Rheumatol</w:t>
      </w:r>
      <w:r>
        <w:t xml:space="preserve">, 2016; Hunter et al., </w:t>
      </w:r>
      <w:r>
        <w:rPr>
          <w:i/>
        </w:rPr>
        <w:t>Arthritis Care Res</w:t>
      </w:r>
      <w:r>
        <w:t>, 2022).</w:t>
      </w:r>
      <w:r/>
    </w:p>
    <w:p>
      <w:pPr/>
      <w:r>
        <w:t>Alternative WOMAC thresholds and refinements have been used:</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Definition</w:t>
            </w:r>
          </w:p>
        </w:tc>
        <w:tc>
          <w:tcPr>
            <w:tcW w:type="dxa" w:w="2160"/>
          </w:tcPr>
          <w:p>
            <w:r>
              <w:rPr>
                <w:b/>
              </w:rPr>
              <w:t>Measure &amp; threshold</w:t>
            </w:r>
          </w:p>
        </w:tc>
        <w:tc>
          <w:tcPr>
            <w:tcW w:type="dxa" w:w="2160"/>
          </w:tcPr>
          <w:p>
            <w:r>
              <w:rPr>
                <w:b/>
              </w:rPr>
              <w:t>Persistence requirement</w:t>
            </w:r>
          </w:p>
        </w:tc>
        <w:tc>
          <w:tcPr>
            <w:tcW w:type="dxa" w:w="2160"/>
          </w:tcPr>
          <w:p>
            <w:r>
              <w:rPr>
                <w:b/>
              </w:rPr>
              <w:t>Key reference</w:t>
            </w:r>
          </w:p>
        </w:tc>
      </w:tr>
      <w:tr>
        <w:tc>
          <w:tcPr>
            <w:tcW w:type="dxa" w:w="2160"/>
          </w:tcPr>
          <w:p>
            <w:r>
              <w:t>FNIH pain progression</w:t>
            </w:r>
          </w:p>
        </w:tc>
        <w:tc>
          <w:tcPr>
            <w:tcW w:type="dxa" w:w="2160"/>
          </w:tcPr>
          <w:p>
            <w:r>
              <w:t>WOMAC pain (0–100), ≥9-point increase</w:t>
            </w:r>
          </w:p>
        </w:tc>
        <w:tc>
          <w:tcPr>
            <w:tcW w:type="dxa" w:w="2160"/>
          </w:tcPr>
          <w:p>
            <w:r>
              <w:t>Sustained ≥2 time points (24–60 mo)</w:t>
            </w:r>
          </w:p>
        </w:tc>
        <w:tc>
          <w:tcPr>
            <w:tcW w:type="dxa" w:w="2160"/>
          </w:tcPr>
          <w:p>
            <w:r>
              <w:t>Eckstein et al. 2015; Collins et al. 2016</w:t>
            </w:r>
          </w:p>
        </w:tc>
      </w:tr>
      <w:tr>
        <w:tc>
          <w:tcPr>
            <w:tcW w:type="dxa" w:w="2160"/>
          </w:tcPr>
          <w:p>
            <w:r>
              <w:t>Sustained pain worsening</w:t>
            </w:r>
          </w:p>
        </w:tc>
        <w:tc>
          <w:tcPr>
            <w:tcW w:type="dxa" w:w="2160"/>
          </w:tcPr>
          <w:p>
            <w:r>
              <w:t>WOMAC pain (0–100), ≥9-point increase</w:t>
            </w:r>
          </w:p>
        </w:tc>
        <w:tc>
          <w:tcPr>
            <w:tcW w:type="dxa" w:w="2160"/>
          </w:tcPr>
          <w:p>
            <w:r>
              <w:t>≥80% of initial increase maintained</w:t>
            </w:r>
          </w:p>
        </w:tc>
        <w:tc>
          <w:tcPr>
            <w:tcW w:type="dxa" w:w="2160"/>
          </w:tcPr>
          <w:p>
            <w:r>
              <w:t xml:space="preserve">Collins et al., </w:t>
            </w:r>
            <w:r>
              <w:rPr>
                <w:i/>
              </w:rPr>
              <w:t>Osteoarthritis Cartilage</w:t>
            </w:r>
            <w:r>
              <w:t xml:space="preserve"> , 2023</w:t>
            </w:r>
          </w:p>
        </w:tc>
      </w:tr>
      <w:tr>
        <w:tc>
          <w:tcPr>
            <w:tcW w:type="dxa" w:w="2160"/>
          </w:tcPr>
          <w:p>
            <w:r>
              <w:t>WOMAC function MCID worsening</w:t>
            </w:r>
          </w:p>
        </w:tc>
        <w:tc>
          <w:tcPr>
            <w:tcW w:type="dxa" w:w="2160"/>
          </w:tcPr>
          <w:p>
            <w:r>
              <w:t>WOMAC function (0–68), ≥6-unit increase</w:t>
            </w:r>
          </w:p>
        </w:tc>
        <w:tc>
          <w:tcPr>
            <w:tcW w:type="dxa" w:w="2160"/>
          </w:tcPr>
          <w:p>
            <w:r>
              <w:t>Over 2-year interval</w:t>
            </w:r>
          </w:p>
        </w:tc>
        <w:tc>
          <w:tcPr>
            <w:tcW w:type="dxa" w:w="2160"/>
          </w:tcPr>
          <w:p>
            <w:r>
              <w:t xml:space="preserve">Ruhdorfer et al., </w:t>
            </w:r>
            <w:r>
              <w:rPr>
                <w:i/>
              </w:rPr>
              <w:t>Arthritis Rheumatol</w:t>
            </w:r>
            <w:r>
              <w:t xml:space="preserve"> , 2016</w:t>
            </w:r>
          </w:p>
        </w:tc>
      </w:tr>
      <w:tr>
        <w:tc>
          <w:tcPr>
            <w:tcW w:type="dxa" w:w="2160"/>
          </w:tcPr>
          <w:p>
            <w:r>
              <w:t>Consecutive-visit progression</w:t>
            </w:r>
          </w:p>
        </w:tc>
        <w:tc>
          <w:tcPr>
            <w:tcW w:type="dxa" w:w="2160"/>
          </w:tcPr>
          <w:p>
            <w:r>
              <w:t>WOMAC pain (0–20), &gt;2-unit increase</w:t>
            </w:r>
          </w:p>
        </w:tc>
        <w:tc>
          <w:tcPr>
            <w:tcW w:type="dxa" w:w="2160"/>
          </w:tcPr>
          <w:p>
            <w:r>
              <w:t>Between any 2 consecutive visits</w:t>
            </w:r>
          </w:p>
        </w:tc>
        <w:tc>
          <w:tcPr>
            <w:tcW w:type="dxa" w:w="2160"/>
          </w:tcPr>
          <w:p>
            <w:r>
              <w:t xml:space="preserve">Driban et al., </w:t>
            </w:r>
            <w:r>
              <w:rPr>
                <w:i/>
              </w:rPr>
              <w:t>Arthritis Rheumatol</w:t>
            </w:r>
            <w:r>
              <w:t xml:space="preserve"> , 2026</w:t>
            </w:r>
          </w:p>
        </w:tc>
      </w:tr>
      <w:tr>
        <w:tc>
          <w:tcPr>
            <w:tcW w:type="dxa" w:w="2160"/>
          </w:tcPr>
          <w:p>
            <w:r>
              <w:t>Clinically important worsening</w:t>
            </w:r>
          </w:p>
        </w:tc>
        <w:tc>
          <w:tcPr>
            <w:tcW w:type="dxa" w:w="2160"/>
          </w:tcPr>
          <w:p>
            <w:r>
              <w:t>WOMAC total, ≥20% increase (or ≥2 if baseline 0)</w:t>
            </w:r>
          </w:p>
        </w:tc>
        <w:tc>
          <w:tcPr>
            <w:tcW w:type="dxa" w:w="2160"/>
          </w:tcPr>
          <w:p>
            <w:r>
              <w:t>Single interval</w:t>
            </w:r>
          </w:p>
        </w:tc>
        <w:tc>
          <w:tcPr>
            <w:tcW w:type="dxa" w:w="2160"/>
          </w:tcPr>
          <w:p>
            <w:r>
              <w:t xml:space="preserve">Wink et al., </w:t>
            </w:r>
            <w:r>
              <w:rPr>
                <w:i/>
              </w:rPr>
              <w:t>Arthritis Care Res</w:t>
            </w:r>
            <w:r>
              <w:t xml:space="preserve"> , 2019</w:t>
            </w:r>
          </w:p>
        </w:tc>
      </w:tr>
      <w:tr>
        <w:tc>
          <w:tcPr>
            <w:tcW w:type="dxa" w:w="2160"/>
          </w:tcPr>
          <w:p>
            <w:r>
              <w:t>Inverse OARSI-OMERACT</w:t>
            </w:r>
          </w:p>
        </w:tc>
        <w:tc>
          <w:tcPr>
            <w:tcW w:type="dxa" w:w="2160"/>
          </w:tcPr>
          <w:p>
            <w:r>
              <w:t>Pain + function + global composite</w:t>
            </w:r>
          </w:p>
        </w:tc>
        <w:tc>
          <w:tcPr>
            <w:tcW w:type="dxa" w:w="2160"/>
          </w:tcPr>
          <w:p>
            <w:r>
              <w:t>Over 2 years</w:t>
            </w:r>
          </w:p>
        </w:tc>
        <w:tc>
          <w:tcPr>
            <w:tcW w:type="dxa" w:w="2160"/>
          </w:tcPr>
          <w:p>
            <w:r>
              <w:t xml:space="preserve">Driban et al., </w:t>
            </w:r>
            <w:r>
              <w:rPr>
                <w:i/>
              </w:rPr>
              <w:t>J Rheumatol</w:t>
            </w:r>
            <w:r>
              <w:t xml:space="preserve"> , 2021</w:t>
            </w:r>
          </w:p>
        </w:tc>
      </w:tr>
      <w:tr>
        <w:tc>
          <w:tcPr>
            <w:tcW w:type="dxa" w:w="2160"/>
          </w:tcPr>
          <w:p>
            <w:r>
              <w:t>APPROACH consortium</w:t>
            </w:r>
          </w:p>
        </w:tc>
        <w:tc>
          <w:tcPr>
            <w:tcW w:type="dxa" w:w="2160"/>
          </w:tcPr>
          <w:p>
            <w:r>
              <w:t>WOMAC pain (0–100), ≥5 pts/yr + end pain ≥40 (variants)</w:t>
            </w:r>
          </w:p>
        </w:tc>
        <w:tc>
          <w:tcPr>
            <w:tcW w:type="dxa" w:w="2160"/>
          </w:tcPr>
          <w:p>
            <w:r>
              <w:t>2-year bounded</w:t>
            </w:r>
          </w:p>
        </w:tc>
        <w:tc>
          <w:tcPr>
            <w:tcW w:type="dxa" w:w="2160"/>
          </w:tcPr>
          <w:p>
            <w:r>
              <w:t xml:space="preserve">Widera et al., </w:t>
            </w:r>
            <w:r>
              <w:rPr>
                <w:i/>
              </w:rPr>
              <w:t>Sci Rep</w:t>
            </w:r>
            <w:r>
              <w:t xml:space="preserve"> , 2020</w:t>
            </w:r>
          </w:p>
        </w:tc>
      </w:tr>
    </w:tbl>
    <w:p>
      <w:r/>
    </w:p>
    <w:p>
      <w:pPr/>
      <w:r>
        <w:t xml:space="preserve">The distinction between transient and </w:t>
      </w:r>
      <w:r>
        <w:rPr>
          <w:b/>
        </w:rPr>
        <w:t>sustained</w:t>
      </w:r>
      <w:r>
        <w:t xml:space="preserve"> worsening is clinically important: Collins et al. showed that while 88% of participants had ≥1 clinically relevant (≥9-point) pain increase, only </w:t>
      </w:r>
      <w:r>
        <w:rPr>
          <w:b/>
        </w:rPr>
        <w:t>48% had sustained worsening</w:t>
      </w:r>
      <w:r>
        <w:t xml:space="preserve">, underscoring how fluctuating OA pain is (Collins et al., </w:t>
      </w:r>
      <w:r>
        <w:rPr>
          <w:i/>
        </w:rPr>
        <w:t>Osteoarthritis Cartilage</w:t>
      </w:r>
      <w:r>
        <w:t xml:space="preserve">, 2023). The </w:t>
      </w:r>
      <w:r>
        <w:rPr>
          <w:b/>
        </w:rPr>
        <w:t>inverse OARSI-OMERACT criteria</w:t>
      </w:r>
      <w:r>
        <w:t xml:space="preserve"> (worsening in pain, function, and global assessment) is a validated composite indicator — meeting it roughly doubled the odds of concurrent radiographic worsening, walking-speed decline, and future TKR (Driban et al., </w:t>
      </w:r>
      <w:r>
        <w:rPr>
          <w:i/>
        </w:rPr>
        <w:t>J Rheumatol</w:t>
      </w:r>
      <w:r>
        <w:t>, 2021).</w:t>
      </w:r>
      <w:r/>
    </w:p>
    <w:p>
      <w:pPr/>
      <w:r>
        <w:t xml:space="preserve">Rather than binary cutoffs, many OAI studies use </w:t>
      </w:r>
      <w:r>
        <w:rPr>
          <w:b/>
        </w:rPr>
        <w:t>group-based trajectory modeling</w:t>
      </w:r>
      <w:r>
        <w:t xml:space="preserve"> of WOMAC pain: Collins et al. (5 trajectories over 6 years, none substantially worsening), Radojčić et al. (6 trajectories mapping to 4 phenotypes over 9 years), Nelson et al. (stable 76.4%, improvement 11.2%, worsening 9.0%, irregular 3.3%), and Halilaj et al. (stable/improving/worsening clusters predictable from a single visit at AUC 0.95, with no association between JSN and pain progression) (Collins et al., </w:t>
      </w:r>
      <w:r>
        <w:rPr>
          <w:i/>
        </w:rPr>
        <w:t>Osteoarthritis Cartilage</w:t>
      </w:r>
      <w:r>
        <w:t xml:space="preserve">, 2014; Radojčić et al., </w:t>
      </w:r>
      <w:r>
        <w:rPr>
          <w:i/>
        </w:rPr>
        <w:t>Pain</w:t>
      </w:r>
      <w:r>
        <w:t xml:space="preserve">, 2020; Nelson et al., </w:t>
      </w:r>
      <w:r>
        <w:rPr>
          <w:i/>
        </w:rPr>
        <w:t>PLoS One</w:t>
      </w:r>
      <w:r>
        <w:t xml:space="preserve">, 2021; Halilaj et al., </w:t>
      </w:r>
      <w:r>
        <w:rPr>
          <w:i/>
        </w:rPr>
        <w:t>Osteoarthritis Cartilage</w:t>
      </w:r>
      <w:r>
        <w:t xml:space="preserve">, 2018). Latent class/transition analyses have also defined </w:t>
      </w:r>
      <w:r>
        <w:rPr>
          <w:b/>
        </w:rPr>
        <w:t>pain phenotypes</w:t>
      </w:r>
      <w:r>
        <w:t xml:space="preserve"> based on WOMAC item patterns and psychosocial features, and ICOAP-based dual-trajectory modeling captures intermittent versus constant pain (Kittelson et al., </w:t>
      </w:r>
      <w:r>
        <w:rPr>
          <w:i/>
        </w:rPr>
        <w:t>Arthritis Care Res</w:t>
      </w:r>
      <w:r>
        <w:t xml:space="preserve">, 2016; Ye et al., </w:t>
      </w:r>
      <w:r>
        <w:rPr>
          <w:i/>
        </w:rPr>
        <w:t>BMC Musculoskelet Disord</w:t>
      </w:r>
      <w:r>
        <w:t xml:space="preserve">, 2024; Chang et al., </w:t>
      </w:r>
      <w:r>
        <w:rPr>
          <w:i/>
        </w:rPr>
        <w:t>J Pain</w:t>
      </w:r>
      <w:r>
        <w:t>, 2023).</w:t>
      </w:r>
      <w:r/>
    </w:p>
    <w:p>
      <w:pPr>
        <w:pStyle w:val="Heading2"/>
        <w:spacing w:before="189" w:after="157"/>
      </w:pPr>
      <w:r>
        <w:t>Functional / Performance-Based Definitions</w:t>
      </w:r>
      <w:r/>
    </w:p>
    <w:p>
      <w:pPr/>
      <w:r>
        <w:t xml:space="preserve">Beyond WOMAC, the OAI collected </w:t>
      </w:r>
      <w:r>
        <w:rPr>
          <w:b/>
        </w:rPr>
        <w:t>performance measures</w:t>
      </w:r>
      <w:r>
        <w:t xml:space="preserve"> annually for 84 months (except the 60- and 84-month visits): a 20-meter walk (usual pace), a 400-meter endurance walk, and a </w:t>
      </w:r>
      <w:r>
        <w:rPr>
          <w:b/>
        </w:rPr>
        <w:t>5-times sit-to-stand test</w:t>
      </w:r>
      <w:r>
        <w:t xml:space="preserve"> (Øiestad et al., </w:t>
      </w:r>
      <w:r>
        <w:rPr>
          <w:i/>
        </w:rPr>
        <w:t>Arthritis Care Res</w:t>
      </w:r>
      <w:r>
        <w:t xml:space="preserve">, 2016; Gilbert et al., </w:t>
      </w:r>
      <w:r>
        <w:rPr>
          <w:i/>
        </w:rPr>
        <w:t>Arthritis Care Res</w:t>
      </w:r>
      <w:r>
        <w:t>, 2021).</w:t>
      </w:r>
      <w:r/>
    </w:p>
    <w:p>
      <w:pPr/>
      <w:r>
        <w:rPr>
          <w:b/>
        </w:rPr>
        <w:t>Gait speed</w:t>
      </w:r>
      <w:r>
        <w:t xml:space="preserve"> has been operationalized several ways. Trajectory modeling by White et al. identified five 4-year gait speed trajectories, with ~5% in a "fast decline" group (2.70%/year); symptomatic knee OA conferred an OR of 8.9 for membership in that group (White et al., </w:t>
      </w:r>
      <w:r>
        <w:rPr>
          <w:i/>
        </w:rPr>
        <w:t>Arthritis Care Res</w:t>
      </w:r>
      <w:r>
        <w:t xml:space="preserve">, 2013). Liu et al. extended this to three 8-year trajectories, with the "slow" group (19.1%) never reaching 1.0 m/s (Liu et al., </w:t>
      </w:r>
      <w:r>
        <w:rPr>
          <w:i/>
        </w:rPr>
        <w:t>Sci Rep</w:t>
      </w:r>
      <w:r>
        <w:t xml:space="preserve">, 2023). The </w:t>
      </w:r>
      <w:r>
        <w:rPr>
          <w:b/>
        </w:rPr>
        <w:t>important difference</w:t>
      </w:r>
      <w:r>
        <w:t xml:space="preserve"> for the 20-m walk was established at ~4.1–6.9 m/min (≈0.068–0.115 m/s) (Gilbert et al., </w:t>
      </w:r>
      <w:r>
        <w:rPr>
          <w:i/>
        </w:rPr>
        <w:t>Arthritis Care Res</w:t>
      </w:r>
      <w:r>
        <w:t xml:space="preserve">, 2021). As a progression outcome, a </w:t>
      </w:r>
      <w:r>
        <w:rPr>
          <w:b/>
        </w:rPr>
        <w:t>decline of ≥0.1 m/s over 2 years</w:t>
      </w:r>
      <w:r>
        <w:t xml:space="preserve"> was used to validate the inverse OARSI-OMERACT criteria, and </w:t>
      </w:r>
      <w:r>
        <w:rPr>
          <w:b/>
        </w:rPr>
        <w:t>incident slow gait (&lt;1.0 m/s)</w:t>
      </w:r>
      <w:r>
        <w:t xml:space="preserve"> has been modeled as an endpoint in its own right (Driban et al., </w:t>
      </w:r>
      <w:r>
        <w:rPr>
          <w:i/>
        </w:rPr>
        <w:t>J Rheumatol</w:t>
      </w:r>
      <w:r>
        <w:t xml:space="preserve">, 2021; Sharma et al., </w:t>
      </w:r>
      <w:r>
        <w:rPr>
          <w:i/>
        </w:rPr>
        <w:t>Ann Rheum Dis</w:t>
      </w:r>
      <w:r>
        <w:t xml:space="preserve">, 2019). Gait slowing also predicts structure — each 0.1 m/s decrease raised incident radiographic KOA risk by 8% (Herzog et al., </w:t>
      </w:r>
      <w:r>
        <w:rPr>
          <w:i/>
        </w:rPr>
        <w:t>J Rheumatol</w:t>
      </w:r>
      <w:r>
        <w:t>, 2017).</w:t>
      </w:r>
      <w:r/>
    </w:p>
    <w:p>
      <w:pPr/>
      <w:r>
        <w:t xml:space="preserve">The five-times </w:t>
      </w:r>
      <w:r>
        <w:rPr>
          <w:b/>
        </w:rPr>
        <w:t>sit-to-stand</w:t>
      </w:r>
      <w:r>
        <w:t xml:space="preserve"> test defines functional limitation at </w:t>
      </w:r>
      <w:r>
        <w:rPr>
          <w:b/>
        </w:rPr>
        <w:t>&gt;12 seconds</w:t>
      </w:r>
      <w:r>
        <w:t xml:space="preserve"> (often combined with gait speed &lt;1.22 m/s); longer chair-stand time predicts incident symptomatic KOA (HR 1.07/second) but not structural onset (Master et al., </w:t>
      </w:r>
      <w:r>
        <w:rPr>
          <w:i/>
        </w:rPr>
        <w:t>J Rheumatol</w:t>
      </w:r>
      <w:r>
        <w:t xml:space="preserve">, 2021; Hiyama, </w:t>
      </w:r>
      <w:r>
        <w:rPr>
          <w:i/>
        </w:rPr>
        <w:t>Rheumatol Int</w:t>
      </w:r>
      <w:r>
        <w:t xml:space="preserve">, 2026). </w:t>
      </w:r>
      <w:r>
        <w:rPr>
          <w:i/>
        </w:rPr>
        <w:t>(In the original review, Figure 1 from White et al., Arthritis Care Res 2013, summarized the gait-speed trajectory groups.)</w:t>
      </w:r>
      <w:r/>
    </w:p>
    <w:p>
      <w:pPr>
        <w:pStyle w:val="Heading2"/>
        <w:spacing w:before="189" w:after="157"/>
      </w:pPr>
      <w:r>
        <w:t>Accelerometer-Based and Physical Activity Definitions</w:t>
      </w:r>
      <w:r/>
    </w:p>
    <w:p>
      <w:pPr/>
      <w:r>
        <w:t xml:space="preserve">The OAI </w:t>
      </w:r>
      <w:r>
        <w:rPr>
          <w:b/>
        </w:rPr>
        <w:t>physical activity ancillary substudy</w:t>
      </w:r>
      <w:r>
        <w:t xml:space="preserve"> was added at the </w:t>
      </w:r>
      <w:r>
        <w:rPr>
          <w:b/>
        </w:rPr>
        <w:t>48-month visit</w:t>
      </w:r>
      <w:r>
        <w:t xml:space="preserve">, using hip-worn uniaxial ActiGraph GT1M accelerometers worn for 7 continuous days — providing objective activity data on a large subset (Song et al., </w:t>
      </w:r>
      <w:r>
        <w:rPr>
          <w:i/>
        </w:rPr>
        <w:t>Arthritis Care Res</w:t>
      </w:r>
      <w:r>
        <w:t xml:space="preserve">, 2010; Pellegrini et al., </w:t>
      </w:r>
      <w:r>
        <w:rPr>
          <w:i/>
        </w:rPr>
        <w:t>Curr Rheumatol Rep</w:t>
      </w:r>
      <w:r>
        <w:t xml:space="preserve">, 2018). Only ~2–13% of participants with KOA met the ≥150 min/week MVPA guideline (Song et al., </w:t>
      </w:r>
      <w:r>
        <w:rPr>
          <w:i/>
        </w:rPr>
        <w:t>Arthritis Care Res</w:t>
      </w:r>
      <w:r>
        <w:t xml:space="preserve">, 2010; Sharma, </w:t>
      </w:r>
      <w:r>
        <w:rPr>
          <w:i/>
        </w:rPr>
        <w:t>N Engl J Med</w:t>
      </w:r>
      <w:r>
        <w:t>, 2021).</w:t>
      </w:r>
      <w:r/>
    </w:p>
    <w:p>
      <w:pPr/>
      <w:r>
        <w:t xml:space="preserve">Accelerometry has been used to define progression and functional decline in several ways. Sedentary behavior (~9.8 hours/day) predicted subsequent functional loss (−0.75 chair-stand repetitions/min per 10% sedentary increment), and isotemporal-substitution analyses showed that replacing sedentary or non-walking time with light or moderate activity reduced incident slow gait risk (HR 0.83; RR 0.21–0.51) (Semanik et al., </w:t>
      </w:r>
      <w:r>
        <w:rPr>
          <w:i/>
        </w:rPr>
        <w:t>Am J Public Health</w:t>
      </w:r>
      <w:r>
        <w:t xml:space="preserve">, 2015; White et al., </w:t>
      </w:r>
      <w:r>
        <w:rPr>
          <w:i/>
        </w:rPr>
        <w:t>Am J Prev Med</w:t>
      </w:r>
      <w:r>
        <w:t xml:space="preserve">, 2017; Fenton et al., </w:t>
      </w:r>
      <w:r>
        <w:rPr>
          <w:i/>
        </w:rPr>
        <w:t>Osteoarthritis Cartilage</w:t>
      </w:r>
      <w:r>
        <w:t xml:space="preserve">, 2018). Activity-pattern and threshold analyses (e.g., low MVPA counts ≥2,500/min) predict gait decline (Sun et al., </w:t>
      </w:r>
      <w:r>
        <w:rPr>
          <w:i/>
        </w:rPr>
        <w:t>Osteoarthritis Cartilage</w:t>
      </w:r>
      <w:r>
        <w:t xml:space="preserve">, 2021; Tore et al., </w:t>
      </w:r>
      <w:r>
        <w:rPr>
          <w:i/>
        </w:rPr>
        <w:t>Osteoarthritis Cartilage</w:t>
      </w:r>
      <w:r>
        <w:t xml:space="preserve">, 2025). Relationships with </w:t>
      </w:r>
      <w:r>
        <w:rPr>
          <w:b/>
        </w:rPr>
        <w:t>structural</w:t>
      </w:r>
      <w:r>
        <w:t xml:space="preserve"> progression are inconsistent — null associations in some analyses, a U-shaped relationship in others (moderate activity protective, high activity harmful) — and effects on symptoms are severity-dependent, with greater activity worsening symptoms in KL grade 4 (Kraus et al., </w:t>
      </w:r>
      <w:r>
        <w:rPr>
          <w:i/>
        </w:rPr>
        <w:t>Med Sci Sports Exerc</w:t>
      </w:r>
      <w:r>
        <w:t xml:space="preserve">, 2019; Qin et al., </w:t>
      </w:r>
      <w:r>
        <w:rPr>
          <w:i/>
        </w:rPr>
        <w:t>Med Sci Sports Exerc</w:t>
      </w:r>
      <w:r>
        <w:t xml:space="preserve">, 2018; Tang et al., </w:t>
      </w:r>
      <w:r>
        <w:rPr>
          <w:i/>
        </w:rPr>
        <w:t>Am J Phys Med Rehabil</w:t>
      </w:r>
      <w:r>
        <w:t xml:space="preserve">, 2025; Liu et al., </w:t>
      </w:r>
      <w:r>
        <w:rPr>
          <w:i/>
        </w:rPr>
        <w:t>Am J Med</w:t>
      </w:r>
      <w:r>
        <w:t xml:space="preserve">, 2016; Halliwell et al., </w:t>
      </w:r>
      <w:r>
        <w:rPr>
          <w:i/>
        </w:rPr>
        <w:t>J Aging Phys Act</w:t>
      </w:r>
      <w:r>
        <w:t xml:space="preserve">, 2026). A recent 2-year accelerometer analysis found the symptom-worsening group (WOMAC increase &gt;10) had greater declines in total daily activity counts, especially in late-afternoon/evening hours (Kushioka et al., </w:t>
      </w:r>
      <w:r>
        <w:rPr>
          <w:i/>
        </w:rPr>
        <w:t>Sensors</w:t>
      </w:r>
      <w:r>
        <w:t>, 2026).</w:t>
      </w:r>
      <w:r/>
    </w:p>
    <w:p>
      <w:pPr>
        <w:pStyle w:val="Heading2"/>
        <w:spacing w:before="189" w:after="157"/>
      </w:pPr>
      <w:r>
        <w:t>Biomechanical Definitions (Ancillary Substudies)</w:t>
      </w:r>
      <w:r/>
    </w:p>
    <w:p>
      <w:pPr/>
      <w:r>
        <w:t xml:space="preserve">The OAI did </w:t>
      </w:r>
      <w:r>
        <w:rPr>
          <w:b/>
        </w:rPr>
        <w:t>not</w:t>
      </w:r>
      <w:r>
        <w:t xml:space="preserve"> include a formal cohort-wide 3D gait laboratory. Biomechanical progression definitions come from OAI ancillary substudies or OAI-adjacent cohorts. The key OAI ancillary work is </w:t>
      </w:r>
      <w:r>
        <w:rPr>
          <w:b/>
        </w:rPr>
        <w:t>varus thrust</w:t>
      </w:r>
      <w:r>
        <w:t xml:space="preserve"> assessed by visual gait observation at the 12-month visit — in radiographic-OA knees, thrust predicted subsequent medial JSN/JSW worsening over up to 7 years, independent of static alignment (Sharma et al., </w:t>
      </w:r>
      <w:r>
        <w:rPr>
          <w:i/>
        </w:rPr>
        <w:t>Arthritis Rheumatol</w:t>
      </w:r>
      <w:r>
        <w:t xml:space="preserve">, 2017). External gait-lab cohorts add mechanistic biomechanical predictors of the TKA endpoint: higher and more sustained knee adduction moment (KAM) and a "stiff-knee" reduced knee flexion moment discriminated TKA progressors with ~74% accuracy, and meta-analytic evidence links peak KAM (OR 1.88) and varus thrust (OR 1.97) to medial OA progression (Hatfield et al., </w:t>
      </w:r>
      <w:r>
        <w:rPr>
          <w:i/>
        </w:rPr>
        <w:t>Arthritis Care Res</w:t>
      </w:r>
      <w:r>
        <w:t xml:space="preserve">, 2015; D'Souza et al., </w:t>
      </w:r>
      <w:r>
        <w:rPr>
          <w:i/>
        </w:rPr>
        <w:t>Osteoarthritis Cartilage</w:t>
      </w:r>
      <w:r>
        <w:t>, 2022).</w:t>
      </w:r>
      <w:r/>
    </w:p>
    <w:p>
      <w:pPr>
        <w:pStyle w:val="Heading2"/>
        <w:spacing w:before="189" w:after="157"/>
      </w:pPr>
      <w:r>
        <w:t>Hard Endpoints: TKR and Composite Trial Outcomes</w:t>
      </w:r>
      <w:r/>
    </w:p>
    <w:p>
      <w:pPr/>
      <w:r>
        <w:rPr>
          <w:b/>
        </w:rPr>
        <w:t>Total knee replacement</w:t>
      </w:r>
      <w:r>
        <w:t xml:space="preserve"> is the most definitive clinical endpoint. Seven-year cumulative TKA incidence in symptomatic radiographic KOA was ~9.6%, with 6-year rates ranging from 0.2% (KL 0) to 32.9% (KL 4) (Collins et al., </w:t>
      </w:r>
      <w:r>
        <w:rPr>
          <w:i/>
        </w:rPr>
        <w:t>Arthritis Care Res</w:t>
      </w:r>
      <w:r>
        <w:t xml:space="preserve">, 2016; Tang et al., </w:t>
      </w:r>
      <w:r>
        <w:rPr>
          <w:i/>
        </w:rPr>
        <w:t>Nat Rev Dis Primers</w:t>
      </w:r>
      <w:r>
        <w:t xml:space="preserve">, 2025). However, TKR alone is confounded by non-disease factors and too infrequent for efficient DMOAD trials — a 4-year incidence of only 4.3% would require ~3,028 participants per arm (Collins et al., </w:t>
      </w:r>
      <w:r>
        <w:rPr>
          <w:i/>
        </w:rPr>
        <w:t>Osteoarthritis Cartilage</w:t>
      </w:r>
      <w:r>
        <w:t xml:space="preserve">, 2026). This has driven </w:t>
      </w:r>
      <w:r>
        <w:rPr>
          <w:b/>
        </w:rPr>
        <w:t>composite endpoints</w:t>
      </w:r>
      <w:r>
        <w:t>, compared directly by Collins et al.:</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Definition</w:t>
            </w:r>
          </w:p>
        </w:tc>
        <w:tc>
          <w:tcPr>
            <w:tcW w:type="dxa" w:w="1728"/>
          </w:tcPr>
          <w:p>
            <w:r>
              <w:rPr>
                <w:b/>
              </w:rPr>
              <w:t>4-yr incidence</w:t>
            </w:r>
          </w:p>
        </w:tc>
        <w:tc>
          <w:tcPr>
            <w:tcW w:type="dxa" w:w="1728"/>
          </w:tcPr>
          <w:p>
            <w:r>
              <w:rPr>
                <w:b/>
              </w:rPr>
              <w:t>RR for subsequent TKR</w:t>
            </w:r>
          </w:p>
        </w:tc>
        <w:tc>
          <w:tcPr>
            <w:tcW w:type="dxa" w:w="1728"/>
          </w:tcPr>
          <w:p>
            <w:r>
              <w:rPr>
                <w:b/>
              </w:rPr>
              <w:t>Reference</w:t>
            </w:r>
          </w:p>
        </w:tc>
      </w:tr>
      <w:tr>
        <w:tc>
          <w:tcPr>
            <w:tcW w:type="dxa" w:w="1728"/>
          </w:tcPr>
          <w:p>
            <w:r>
              <w:t>TKR alone</w:t>
            </w:r>
          </w:p>
        </w:tc>
        <w:tc>
          <w:tcPr>
            <w:tcW w:type="dxa" w:w="1728"/>
          </w:tcPr>
          <w:p>
            <w:r>
              <w:t>Total knee replacement</w:t>
            </w:r>
          </w:p>
        </w:tc>
        <w:tc>
          <w:tcPr>
            <w:tcW w:type="dxa" w:w="1728"/>
          </w:tcPr>
          <w:p>
            <w:r>
              <w:t>4.3%</w:t>
            </w:r>
          </w:p>
        </w:tc>
        <w:tc>
          <w:tcPr>
            <w:tcW w:type="dxa" w:w="1728"/>
          </w:tcPr>
          <w:p>
            <w:r>
              <w:t>—</w:t>
            </w:r>
          </w:p>
        </w:tc>
        <w:tc>
          <w:tcPr>
            <w:tcW w:type="dxa" w:w="1728"/>
          </w:tcPr>
          <w:p>
            <w:r>
              <w:t>Collins et al. 2026</w:t>
            </w:r>
          </w:p>
        </w:tc>
      </w:tr>
      <w:tr>
        <w:tc>
          <w:tcPr>
            <w:tcW w:type="dxa" w:w="1728"/>
          </w:tcPr>
          <w:p>
            <w:r>
              <w:t>FNIH</w:t>
            </w:r>
          </w:p>
        </w:tc>
        <w:tc>
          <w:tcPr>
            <w:tcW w:type="dxa" w:w="1728"/>
          </w:tcPr>
          <w:p>
            <w:r>
              <w:t>JSW loss ≥0.7 mm + WOMAC pain ≥9 pts</w:t>
            </w:r>
          </w:p>
        </w:tc>
        <w:tc>
          <w:tcPr>
            <w:tcW w:type="dxa" w:w="1728"/>
          </w:tcPr>
          <w:p>
            <w:r>
              <w:t>13.8%</w:t>
            </w:r>
          </w:p>
        </w:tc>
        <w:tc>
          <w:tcPr>
            <w:tcW w:type="dxa" w:w="1728"/>
          </w:tcPr>
          <w:p>
            <w:r>
              <w:t>2.6</w:t>
            </w:r>
          </w:p>
        </w:tc>
        <w:tc>
          <w:tcPr>
            <w:tcW w:type="dxa" w:w="1728"/>
          </w:tcPr>
          <w:p>
            <w:r>
              <w:t>Collins et al. 2026</w:t>
            </w:r>
          </w:p>
        </w:tc>
      </w:tr>
      <w:tr>
        <w:tc>
          <w:tcPr>
            <w:tcW w:type="dxa" w:w="1728"/>
          </w:tcPr>
          <w:p>
            <w:r>
              <w:t>esKOA</w:t>
            </w:r>
          </w:p>
        </w:tc>
        <w:tc>
          <w:tcPr>
            <w:tcW w:type="dxa" w:w="1728"/>
          </w:tcPr>
          <w:p>
            <w:r>
              <w:t>End-stage KOA (KL 4 + pain, or severe pain + limited mobility/instability)</w:t>
            </w:r>
          </w:p>
        </w:tc>
        <w:tc>
          <w:tcPr>
            <w:tcW w:type="dxa" w:w="1728"/>
          </w:tcPr>
          <w:p>
            <w:r>
              <w:t>34.4%</w:t>
            </w:r>
          </w:p>
        </w:tc>
        <w:tc>
          <w:tcPr>
            <w:tcW w:type="dxa" w:w="1728"/>
          </w:tcPr>
          <w:p>
            <w:r>
              <w:t>5.7</w:t>
            </w:r>
          </w:p>
        </w:tc>
        <w:tc>
          <w:tcPr>
            <w:tcW w:type="dxa" w:w="1728"/>
          </w:tcPr>
          <w:p>
            <w:r>
              <w:t>Collins et al. 2026; Driban et al. 2023</w:t>
            </w:r>
          </w:p>
        </w:tc>
      </w:tr>
      <w:tr>
        <w:tc>
          <w:tcPr>
            <w:tcW w:type="dxa" w:w="1728"/>
          </w:tcPr>
          <w:p>
            <w:r>
              <w:t>CKOASO</w:t>
            </w:r>
          </w:p>
        </w:tc>
        <w:tc>
          <w:tcPr>
            <w:tcW w:type="dxa" w:w="1728"/>
          </w:tcPr>
          <w:p>
            <w:r>
              <w:t>Composite KOA symptom outcome</w:t>
            </w:r>
          </w:p>
        </w:tc>
        <w:tc>
          <w:tcPr>
            <w:tcW w:type="dxa" w:w="1728"/>
          </w:tcPr>
          <w:p>
            <w:r>
              <w:t>63.6%</w:t>
            </w:r>
          </w:p>
        </w:tc>
        <w:tc>
          <w:tcPr>
            <w:tcW w:type="dxa" w:w="1728"/>
          </w:tcPr>
          <w:p>
            <w:r>
              <w:t>4.3</w:t>
            </w:r>
          </w:p>
        </w:tc>
        <w:tc>
          <w:tcPr>
            <w:tcW w:type="dxa" w:w="1728"/>
          </w:tcPr>
          <w:p>
            <w:r>
              <w:t>Collins et al. 2026</w:t>
            </w:r>
          </w:p>
        </w:tc>
      </w:tr>
    </w:tbl>
    <w:p>
      <w:r/>
    </w:p>
    <w:p>
      <w:pPr/>
      <w:r>
        <w:t xml:space="preserve">The </w:t>
      </w:r>
      <w:r>
        <w:rPr>
          <w:b/>
        </w:rPr>
        <w:t>end-stage KOA (esKOA)</w:t>
      </w:r>
      <w:r>
        <w:t xml:space="preserve"> definition is notable: KL 4 with moderate-intense pain, or KL &lt;4 with intense/severe pain plus limited mobility or instability; over 80% of knees reach esKOA through </w:t>
      </w:r>
      <w:r>
        <w:rPr>
          <w:b/>
        </w:rPr>
        <w:t>symptom</w:t>
      </w:r>
      <w:r>
        <w:t xml:space="preserve"> rather than radiographic worsening (Driban et al., </w:t>
      </w:r>
      <w:r>
        <w:rPr>
          <w:i/>
        </w:rPr>
        <w:t>Semin Arthritis Rheum</w:t>
      </w:r>
      <w:r>
        <w:t xml:space="preserve">, 2023). Kim et al. similarly proposed composite time-to-event endpoints (first TKR or crossing WOMAC severity thresholds) to reduce required sample sizes by ~40% (Kim et al., </w:t>
      </w:r>
      <w:r>
        <w:rPr>
          <w:i/>
        </w:rPr>
        <w:t>Arthritis Care Res</w:t>
      </w:r>
      <w:r>
        <w:t>, 2022).</w:t>
      </w:r>
      <w:r/>
    </w:p>
    <w:p>
      <w:pPr>
        <w:pStyle w:val="Heading2"/>
        <w:spacing w:before="189" w:after="157"/>
      </w:pPr>
      <w:r>
        <w:t>Cross-Cutting Themes and Evidence Gaps</w:t>
      </w:r>
      <w:r/>
    </w:p>
    <w:p>
      <w:pPr/>
      <w:r>
        <w:t xml:space="preserve">The dominant lesson across OAI progression research is </w:t>
      </w:r>
      <w:r>
        <w:rPr>
          <w:b/>
        </w:rPr>
        <w:t>domain discordance</w:t>
      </w:r>
      <w:r>
        <w:t xml:space="preserve">: joint space narrowing and pain progression are largely unassociated, most participants show stable or improving symptoms over 6–9 years while only ~9–11% clearly worsen, and 85.7% of knees have stable JSW over 8 years (Halilaj et al., </w:t>
      </w:r>
      <w:r>
        <w:rPr>
          <w:i/>
        </w:rPr>
        <w:t>Osteoarthritis Cartilage</w:t>
      </w:r>
      <w:r>
        <w:t xml:space="preserve">, 2018; Collins et al., </w:t>
      </w:r>
      <w:r>
        <w:rPr>
          <w:i/>
        </w:rPr>
        <w:t>Arthritis Care Res</w:t>
      </w:r>
      <w:r>
        <w:t xml:space="preserve">, 2021; Collins et al., </w:t>
      </w:r>
      <w:r>
        <w:rPr>
          <w:i/>
        </w:rPr>
        <w:t>Osteoarthritis Cartilage</w:t>
      </w:r>
      <w:r>
        <w:t xml:space="preserve">, 2014; Nelson et al., </w:t>
      </w:r>
      <w:r>
        <w:rPr>
          <w:i/>
        </w:rPr>
        <w:t>PLoS One</w:t>
      </w:r>
      <w:r>
        <w:t xml:space="preserve">, 2021). This is precisely why the FNIH composite (structure + symptom) definition has become the reference standard for enrichment (Eckstein et al., </w:t>
      </w:r>
      <w:r>
        <w:rPr>
          <w:i/>
        </w:rPr>
        <w:t>Arthritis Rheumatol</w:t>
      </w:r>
      <w:r>
        <w:t xml:space="preserve">, 2015; Hunter et al., </w:t>
      </w:r>
      <w:r>
        <w:rPr>
          <w:i/>
        </w:rPr>
        <w:t>Arthritis Care Res</w:t>
      </w:r>
      <w:r>
        <w:t xml:space="preserve">, 2022). Key limitations to keep in mind: there is no consensus radiographic definition; MRI OA definitions have weak long-term predictive validity; the accelerometer substudy began at 48 months (not baseline) and used uniaxial devices; performance tests were skipped at the 60- and 84-month visits; and TKR is confounded by access and preference (Joo et al., </w:t>
      </w:r>
      <w:r>
        <w:rPr>
          <w:i/>
        </w:rPr>
        <w:t>Knee Surg Sports Traumatol Arthrosc</w:t>
      </w:r>
      <w:r>
        <w:t xml:space="preserve">, 2022; Chang et al., </w:t>
      </w:r>
      <w:r>
        <w:rPr>
          <w:i/>
        </w:rPr>
        <w:t>Arthritis Rheumatol</w:t>
      </w:r>
      <w:r>
        <w:t xml:space="preserve">, 2025; Øiestad et al., </w:t>
      </w:r>
      <w:r>
        <w:rPr>
          <w:i/>
        </w:rPr>
        <w:t>Arthritis Care Res</w:t>
      </w:r>
      <w:r>
        <w:t xml:space="preserve">, 2016; Song et al., </w:t>
      </w:r>
      <w:r>
        <w:rPr>
          <w:i/>
        </w:rPr>
        <w:t>Arthritis Care Res</w:t>
      </w:r>
      <w:r>
        <w:t xml:space="preserve">, 2010; Collins et al., </w:t>
      </w:r>
      <w:r>
        <w:rPr>
          <w:i/>
        </w:rPr>
        <w:t>Arthritis Care Res</w:t>
      </w:r>
      <w:r>
        <w:t xml:space="preserve">, 2016; Kim et al., </w:t>
      </w:r>
      <w:r>
        <w:rPr>
          <w:i/>
        </w:rPr>
        <w:t>Arthritis Care Res</w:t>
      </w:r>
      <w:r>
        <w:t>, 2022).</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57" w:line="360" w:lineRule="auto"/>
    </w:pPr>
    <w:rPr>
      <w:rFonts w:ascii="Calibri" w:hAnsi="Calibri"/>
      <w:sz w:val="3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