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160" w:before="0"/>
        <w:jc w:val="center"/>
      </w:pPr>
      <w:r>
        <w:rPr>
          <w:rFonts w:ascii="Arial" w:cs="Arial" w:eastAsia="Arial" w:hAnsi="Arial"/>
          <w:b/>
          <w:bCs/>
          <w:color w:val="1F3864"/>
          <w:sz w:val="52"/>
          <w:szCs w:val="52"/>
        </w:rPr>
        <w:t xml:space="preserve">Code of Conduct Policy</w:t>
      </w:r>
    </w:p>
    <w:p>
      <w:pPr>
        <w:spacing w:after="400" w:before="0"/>
        <w:jc w:val="center"/>
      </w:pPr>
      <w:r>
        <w:rPr>
          <w:rFonts w:ascii="Arial" w:cs="Arial" w:eastAsia="Arial" w:hAnsi="Arial"/>
          <w:color w:val="2E5FA3"/>
          <w:sz w:val="28"/>
          <w:szCs w:val="28"/>
        </w:rPr>
        <w:t xml:space="preserve">Human Resources Policy Document</w:t>
      </w:r>
    </w:p>
    <w:p>
      <w:pPr>
        <w:pBdr>
          <w:bottom w:val="single" w:color="2E5FA3" w:sz="8" w:space="1"/>
        </w:pBdr>
        <w:spacing w:after="480" w:before="0"/>
        <w:jc w:val="center"/>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Policy Number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HR-POL-003</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b/>
                <w:bCs/>
                <w:color w:val="1F3864"/>
                <w:sz w:val="20"/>
                <w:szCs w:val="20"/>
              </w:rPr>
              <w:t xml:space="preserve">Version</w:t>
            </w:r>
          </w:p>
        </w:tc>
        <w:tc>
          <w:tcPr>
            <w:tcW w:type="dxa" w:w="36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sz w:val="20"/>
                <w:szCs w:val="20"/>
              </w:rPr>
              <w:t xml:space="preserve">3.0</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Effective Date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01 January 2025</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b/>
                <w:bCs/>
                <w:color w:val="1F3864"/>
                <w:sz w:val="20"/>
                <w:szCs w:val="20"/>
              </w:rPr>
              <w:t xml:space="preserve">Policy Owner</w:t>
            </w:r>
          </w:p>
        </w:tc>
        <w:tc>
          <w:tcPr>
            <w:tcW w:type="dxa" w:w="36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sz w:val="20"/>
                <w:szCs w:val="20"/>
              </w:rPr>
              <w:t xml:space="preserve">Human Resources Department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Classification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Internal – All Employees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b/>
                <w:bCs/>
                <w:color w:val="1F3864"/>
                <w:sz w:val="20"/>
                <w:szCs w:val="20"/>
              </w:rPr>
              <w:t xml:space="preserve">Review Cycle</w:t>
            </w:r>
          </w:p>
        </w:tc>
        <w:tc>
          <w:tcPr>
            <w:tcW w:type="dxa" w:w="36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sz w:val="20"/>
                <w:szCs w:val="20"/>
              </w:rPr>
              <w:t xml:space="preserve">Annual</w:t>
            </w:r>
          </w:p>
        </w:tc>
      </w:tr>
    </w:tbl>
    <w:p>
      <w:pPr>
        <w:spacing w:after="0" w:before="400"/>
      </w:pPr>
    </w:p>
    <w:p>
      <w:pPr>
        <w:pBdr>
          <w:top w:val="single" w:color="2E5FA3" w:sz="4" w:space="1"/>
        </w:pBdr>
        <w:spacing w:after="0" w:before="200"/>
        <w:jc w:val="center"/>
      </w:pPr>
      <w:r>
        <w:rPr>
          <w:rFonts w:ascii="Arial" w:cs="Arial" w:eastAsia="Arial" w:hAnsi="Arial"/>
          <w:color w:val="888888"/>
          <w:sz w:val="18"/>
          <w:szCs w:val="18"/>
        </w:rPr>
        <w:t xml:space="preserve">CONFIDENTIAL | FOR INTERNAL USE ONLY</w:t>
      </w:r>
    </w:p>
    <w:p>
      <w:pPr>
        <w:pageBreakBefore/>
      </w:pPr>
    </w:p>
    <w:p>
      <w:pPr>
        <w:pStyle w:val="Heading1"/>
        <w:pBdr>
          <w:bottom w:val="single" w:color="2E5FA3" w:sz="4" w:space="4"/>
        </w:pBdr>
        <w:spacing w:after="100" w:before="280"/>
      </w:pPr>
      <w:r>
        <w:rPr>
          <w:rFonts w:ascii="Arial" w:cs="Arial" w:eastAsia="Arial" w:hAnsi="Arial"/>
          <w:b/>
          <w:bCs/>
          <w:color w:val="1F3864"/>
          <w:sz w:val="30"/>
          <w:szCs w:val="30"/>
        </w:rPr>
        <w:t xml:space="preserve">1. Purpose</w:t>
      </w:r>
    </w:p>
    <w:p>
      <w:pPr>
        <w:spacing w:after="60" w:before="60"/>
      </w:pPr>
      <w:r>
        <w:rPr>
          <w:rFonts w:ascii="Arial" w:cs="Arial" w:eastAsia="Arial" w:hAnsi="Arial"/>
          <w:color w:val="000000"/>
          <w:sz w:val="20"/>
          <w:szCs w:val="20"/>
        </w:rPr>
        <w:t xml:space="preserve">This Code of Conduct establishes the standards of behaviour, ethics, and professionalism expected of all employees. It reflects the organisation's commitment to creating a respectful, inclusive, and legally compliant workplace. Adherence to this policy protects employees, customers, partners, and the reputation of the organisation.</w:t>
      </w:r>
    </w:p>
    <w:p>
      <w:pPr>
        <w:spacing w:after="0" w:before="80"/>
      </w:pPr>
    </w:p>
    <w:p>
      <w:pPr>
        <w:pStyle w:val="Heading1"/>
        <w:pBdr>
          <w:bottom w:val="single" w:color="2E5FA3" w:sz="4" w:space="4"/>
        </w:pBdr>
        <w:spacing w:after="100" w:before="280"/>
      </w:pPr>
      <w:r>
        <w:rPr>
          <w:rFonts w:ascii="Arial" w:cs="Arial" w:eastAsia="Arial" w:hAnsi="Arial"/>
          <w:b/>
          <w:bCs/>
          <w:color w:val="1F3864"/>
          <w:sz w:val="30"/>
          <w:szCs w:val="30"/>
        </w:rPr>
        <w:t xml:space="preserve">2. Scope</w:t>
      </w:r>
    </w:p>
    <w:p>
      <w:pPr>
        <w:spacing w:after="60" w:before="60"/>
      </w:pPr>
      <w:r>
        <w:rPr>
          <w:rFonts w:ascii="Arial" w:cs="Arial" w:eastAsia="Arial" w:hAnsi="Arial"/>
          <w:color w:val="000000"/>
          <w:sz w:val="20"/>
          <w:szCs w:val="20"/>
        </w:rPr>
        <w:t xml:space="preserve">This policy applies to all individuals associated with the organisation including:</w:t>
      </w:r>
    </w:p>
    <w:p>
      <w:pPr>
        <w:pStyle w:val="ListParagraph"/>
        <w:numPr>
          <w:ilvl w:val="0"/>
          <w:numId w:val="2"/>
        </w:numPr>
        <w:spacing w:after="40" w:before="40"/>
      </w:pPr>
      <w:r>
        <w:rPr>
          <w:rFonts w:ascii="Arial" w:cs="Arial" w:eastAsia="Arial" w:hAnsi="Arial"/>
          <w:sz w:val="20"/>
          <w:szCs w:val="20"/>
        </w:rPr>
        <w:t xml:space="preserve">Permanent and contract employees at all levels</w:t>
      </w:r>
    </w:p>
    <w:p>
      <w:pPr>
        <w:pStyle w:val="ListParagraph"/>
        <w:numPr>
          <w:ilvl w:val="0"/>
          <w:numId w:val="2"/>
        </w:numPr>
        <w:spacing w:after="40" w:before="40"/>
      </w:pPr>
      <w:r>
        <w:rPr>
          <w:rFonts w:ascii="Arial" w:cs="Arial" w:eastAsia="Arial" w:hAnsi="Arial"/>
          <w:sz w:val="20"/>
          <w:szCs w:val="20"/>
        </w:rPr>
        <w:t xml:space="preserve">Interns and apprentices</w:t>
      </w:r>
    </w:p>
    <w:p>
      <w:pPr>
        <w:pStyle w:val="ListParagraph"/>
        <w:numPr>
          <w:ilvl w:val="0"/>
          <w:numId w:val="2"/>
        </w:numPr>
        <w:spacing w:after="40" w:before="40"/>
      </w:pPr>
      <w:r>
        <w:rPr>
          <w:rFonts w:ascii="Arial" w:cs="Arial" w:eastAsia="Arial" w:hAnsi="Arial"/>
          <w:sz w:val="20"/>
          <w:szCs w:val="20"/>
        </w:rPr>
        <w:t xml:space="preserve">Temporary staff and consultants during their engagement</w:t>
      </w:r>
    </w:p>
    <w:p>
      <w:pPr>
        <w:spacing w:after="60" w:before="60"/>
      </w:pPr>
      <w:r>
        <w:rPr>
          <w:rFonts w:ascii="Arial" w:cs="Arial" w:eastAsia="Arial" w:hAnsi="Arial"/>
          <w:color w:val="000000"/>
          <w:sz w:val="20"/>
          <w:szCs w:val="20"/>
        </w:rPr>
        <w:t xml:space="preserve">This policy covers conduct in the workplace, at client sites, during business travel, at company events, and in any context where an employee represents the organisation — including online and social media.</w:t>
      </w:r>
    </w:p>
    <w:p>
      <w:pPr>
        <w:spacing w:after="0" w:before="80"/>
      </w:pPr>
    </w:p>
    <w:p>
      <w:pPr>
        <w:pStyle w:val="Heading1"/>
        <w:pBdr>
          <w:bottom w:val="single" w:color="2E5FA3" w:sz="4" w:space="4"/>
        </w:pBdr>
        <w:spacing w:after="100" w:before="280"/>
      </w:pPr>
      <w:r>
        <w:rPr>
          <w:rFonts w:ascii="Arial" w:cs="Arial" w:eastAsia="Arial" w:hAnsi="Arial"/>
          <w:b/>
          <w:bCs/>
          <w:color w:val="1F3864"/>
          <w:sz w:val="30"/>
          <w:szCs w:val="30"/>
        </w:rPr>
        <w:t xml:space="preserve">3. Core Principles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Principle</w:t>
            </w:r>
          </w:p>
        </w:tc>
        <w:tc>
          <w:tcPr>
            <w:tcW w:type="dxa" w:w="71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What It Means</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Integrity</w:t>
            </w:r>
          </w:p>
        </w:tc>
        <w:tc>
          <w:tcPr>
            <w:tcW w:type="dxa" w:w="71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Act honestly and transparently in all business dealings and decisions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Respect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Treat every individual with dignity regardless of their role, background, or opinion</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Accountability</w:t>
            </w:r>
          </w:p>
        </w:tc>
        <w:tc>
          <w:tcPr>
            <w:tcW w:type="dxa" w:w="71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Take responsibility for your actions and their impact on others and the organisation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Fairness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Apply rules, decisions, and opportunities consistently and without bias</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Confidentiality</w:t>
            </w:r>
          </w:p>
        </w:tc>
        <w:tc>
          <w:tcPr>
            <w:tcW w:type="dxa" w:w="71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Protect sensitive information about the company, employees, and customers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Compliance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Follow all applicable laws, regulations, and company policies at all times</w:t>
            </w:r>
          </w:p>
        </w:tc>
      </w:tr>
    </w:tbl>
    <w:p>
      <w:pPr>
        <w:spacing w:after="0" w:before="80"/>
      </w:pPr>
    </w:p>
    <w:p>
      <w:pPr>
        <w:pStyle w:val="Heading1"/>
        <w:pBdr>
          <w:bottom w:val="single" w:color="2E5FA3" w:sz="4" w:space="4"/>
        </w:pBdr>
        <w:spacing w:after="100" w:before="280"/>
      </w:pPr>
      <w:r>
        <w:rPr>
          <w:rFonts w:ascii="Arial" w:cs="Arial" w:eastAsia="Arial" w:hAnsi="Arial"/>
          <w:b/>
          <w:bCs/>
          <w:color w:val="1F3864"/>
          <w:sz w:val="30"/>
          <w:szCs w:val="30"/>
        </w:rPr>
        <w:t xml:space="preserve">4. Workplace Behaviour Standards</w:t>
      </w:r>
    </w:p>
    <w:p>
      <w:pPr>
        <w:pStyle w:val="Heading2"/>
        <w:spacing w:after="80" w:before="200"/>
      </w:pPr>
      <w:r>
        <w:rPr>
          <w:rFonts w:ascii="Arial" w:cs="Arial" w:eastAsia="Arial" w:hAnsi="Arial"/>
          <w:b/>
          <w:bCs/>
          <w:color w:val="2E5FA3"/>
          <w:sz w:val="24"/>
          <w:szCs w:val="24"/>
        </w:rPr>
        <w:t xml:space="preserve">4.1 Professional Conduct</w:t>
      </w:r>
    </w:p>
    <w:p>
      <w:pPr>
        <w:pStyle w:val="ListParagraph"/>
        <w:numPr>
          <w:ilvl w:val="0"/>
          <w:numId w:val="2"/>
        </w:numPr>
        <w:spacing w:after="40" w:before="40"/>
      </w:pPr>
      <w:r>
        <w:rPr>
          <w:rFonts w:ascii="Arial" w:cs="Arial" w:eastAsia="Arial" w:hAnsi="Arial"/>
          <w:sz w:val="20"/>
          <w:szCs w:val="20"/>
        </w:rPr>
        <w:t xml:space="preserve">Arrive on time and maintain regular attendance; communicate absences proactively</w:t>
      </w:r>
    </w:p>
    <w:p>
      <w:pPr>
        <w:pStyle w:val="ListParagraph"/>
        <w:numPr>
          <w:ilvl w:val="0"/>
          <w:numId w:val="2"/>
        </w:numPr>
        <w:spacing w:after="40" w:before="40"/>
      </w:pPr>
      <w:r>
        <w:rPr>
          <w:rFonts w:ascii="Arial" w:cs="Arial" w:eastAsia="Arial" w:hAnsi="Arial"/>
          <w:sz w:val="20"/>
          <w:szCs w:val="20"/>
        </w:rPr>
        <w:t xml:space="preserve">Dress appropriately as per the dress code applicable to your role and work environment</w:t>
      </w:r>
    </w:p>
    <w:p>
      <w:pPr>
        <w:pStyle w:val="ListParagraph"/>
        <w:numPr>
          <w:ilvl w:val="0"/>
          <w:numId w:val="2"/>
        </w:numPr>
        <w:spacing w:after="40" w:before="40"/>
      </w:pPr>
      <w:r>
        <w:rPr>
          <w:rFonts w:ascii="Arial" w:cs="Arial" w:eastAsia="Arial" w:hAnsi="Arial"/>
          <w:sz w:val="20"/>
          <w:szCs w:val="20"/>
        </w:rPr>
        <w:t xml:space="preserve">Communicate professionally in all written and verbal interactions, including email, chat, and meetings</w:t>
      </w:r>
    </w:p>
    <w:p>
      <w:pPr>
        <w:pStyle w:val="ListParagraph"/>
        <w:numPr>
          <w:ilvl w:val="0"/>
          <w:numId w:val="2"/>
        </w:numPr>
        <w:spacing w:after="40" w:before="40"/>
      </w:pPr>
      <w:r>
        <w:rPr>
          <w:rFonts w:ascii="Arial" w:cs="Arial" w:eastAsia="Arial" w:hAnsi="Arial"/>
          <w:sz w:val="20"/>
          <w:szCs w:val="20"/>
        </w:rPr>
        <w:t xml:space="preserve">Fulfil your job responsibilities diligently and meet agreed deadlines</w:t>
      </w:r>
    </w:p>
    <w:p>
      <w:pPr>
        <w:pStyle w:val="ListParagraph"/>
        <w:numPr>
          <w:ilvl w:val="0"/>
          <w:numId w:val="2"/>
        </w:numPr>
        <w:spacing w:after="40" w:before="40"/>
      </w:pPr>
      <w:r>
        <w:rPr>
          <w:rFonts w:ascii="Arial" w:cs="Arial" w:eastAsia="Arial" w:hAnsi="Arial"/>
          <w:sz w:val="20"/>
          <w:szCs w:val="20"/>
        </w:rPr>
        <w:t xml:space="preserve">Avoid engaging in personal activities during working hours that interfere with job responsibilities</w:t>
      </w:r>
    </w:p>
    <w:p>
      <w:pPr>
        <w:pStyle w:val="Heading2"/>
        <w:spacing w:after="80" w:before="200"/>
      </w:pPr>
      <w:r>
        <w:rPr>
          <w:rFonts w:ascii="Arial" w:cs="Arial" w:eastAsia="Arial" w:hAnsi="Arial"/>
          <w:b/>
          <w:bCs/>
          <w:color w:val="2E5FA3"/>
          <w:sz w:val="24"/>
          <w:szCs w:val="24"/>
        </w:rPr>
        <w:t xml:space="preserve">4.2 Respect &amp; Inclusion</w:t>
      </w:r>
    </w:p>
    <w:p>
      <w:pPr>
        <w:pStyle w:val="ListParagraph"/>
        <w:numPr>
          <w:ilvl w:val="0"/>
          <w:numId w:val="2"/>
        </w:numPr>
        <w:spacing w:after="40" w:before="40"/>
      </w:pPr>
      <w:r>
        <w:rPr>
          <w:rFonts w:ascii="Arial" w:cs="Arial" w:eastAsia="Arial" w:hAnsi="Arial"/>
          <w:sz w:val="20"/>
          <w:szCs w:val="20"/>
        </w:rPr>
        <w:t xml:space="preserve">Treat all colleagues, clients, and vendors with courtesy and respect</w:t>
      </w:r>
    </w:p>
    <w:p>
      <w:pPr>
        <w:pStyle w:val="ListParagraph"/>
        <w:numPr>
          <w:ilvl w:val="0"/>
          <w:numId w:val="2"/>
        </w:numPr>
        <w:spacing w:after="40" w:before="40"/>
      </w:pPr>
      <w:r>
        <w:rPr>
          <w:rFonts w:ascii="Arial" w:cs="Arial" w:eastAsia="Arial" w:hAnsi="Arial"/>
          <w:sz w:val="20"/>
          <w:szCs w:val="20"/>
        </w:rPr>
        <w:t xml:space="preserve">Do not engage in or tolerate discriminatory behaviour based on gender, age, religion, caste, race, nationality, disability, sexual orientation, or any other protected characteristic</w:t>
      </w:r>
    </w:p>
    <w:p>
      <w:pPr>
        <w:pStyle w:val="ListParagraph"/>
        <w:numPr>
          <w:ilvl w:val="0"/>
          <w:numId w:val="2"/>
        </w:numPr>
        <w:spacing w:after="40" w:before="40"/>
      </w:pPr>
      <w:r>
        <w:rPr>
          <w:rFonts w:ascii="Arial" w:cs="Arial" w:eastAsia="Arial" w:hAnsi="Arial"/>
          <w:sz w:val="20"/>
          <w:szCs w:val="20"/>
        </w:rPr>
        <w:t xml:space="preserve">Foster an inclusive environment where diverse perspectives are valued</w:t>
      </w:r>
    </w:p>
    <w:p>
      <w:pPr>
        <w:pStyle w:val="ListParagraph"/>
        <w:numPr>
          <w:ilvl w:val="0"/>
          <w:numId w:val="2"/>
        </w:numPr>
        <w:spacing w:after="40" w:before="40"/>
      </w:pPr>
      <w:r>
        <w:rPr>
          <w:rFonts w:ascii="Arial" w:cs="Arial" w:eastAsia="Arial" w:hAnsi="Arial"/>
          <w:sz w:val="20"/>
          <w:szCs w:val="20"/>
        </w:rPr>
        <w:t xml:space="preserve">Speak up if you witness disrespectful or discriminatory behaviour — silence implies acceptance</w:t>
      </w:r>
    </w:p>
    <w:p>
      <w:pPr>
        <w:pStyle w:val="Heading2"/>
        <w:spacing w:after="80" w:before="200"/>
      </w:pPr>
      <w:r>
        <w:rPr>
          <w:rFonts w:ascii="Arial" w:cs="Arial" w:eastAsia="Arial" w:hAnsi="Arial"/>
          <w:b/>
          <w:bCs/>
          <w:color w:val="2E5FA3"/>
          <w:sz w:val="24"/>
          <w:szCs w:val="24"/>
        </w:rPr>
        <w:t xml:space="preserve">4.3 Zero Tolerance: Harassment &amp; Bullying</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single" w:color="2E5FA3" w:sz="16"/>
              <w:bottom w:val="single" w:color="2E5FA3" w:sz="6"/>
              <w:right w:val="single" w:color="CCCCCC" w:sz="1"/>
            </w:tcBorders>
            <w:shd w:fill="EDF4FC" w:val="clear"/>
            <w:tcMar>
              <w:top w:type="dxa" w:w="120"/>
              <w:left w:type="dxa" w:w="200"/>
              <w:bottom w:type="dxa" w:w="120"/>
              <w:right w:type="dxa" w:w="160"/>
            </w:tcMar>
          </w:tcPr>
          <w:p>
            <w:pPr>
              <w:spacing w:after="30" w:before="30"/>
            </w:pPr>
            <w:r>
              <w:rPr>
                <w:rFonts w:ascii="Arial" w:cs="Arial" w:eastAsia="Arial" w:hAnsi="Arial"/>
                <w:color w:val="2E5FA3"/>
                <w:sz w:val="20"/>
                <w:szCs w:val="20"/>
              </w:rPr>
              <w:t xml:space="preserve">The organisation has a ZERO TOLERANCE policy on workplace harassment, bullying, and intimidation.</w:t>
            </w:r>
          </w:p>
          <w:p>
            <w:pPr>
              <w:spacing w:after="30" w:before="30"/>
            </w:pPr>
            <w:r>
              <w:rPr>
                <w:rFonts w:ascii="Arial" w:cs="Arial" w:eastAsia="Arial" w:hAnsi="Arial"/>
                <w:color w:val="2E5FA3"/>
                <w:sz w:val="20"/>
                <w:szCs w:val="20"/>
              </w:rPr>
              <w:t xml:space="preserve">Any form of harassment — verbal, physical, written, or digital — is a serious violation and may result in immediate termination.</w:t>
            </w:r>
          </w:p>
          <w:p>
            <w:pPr>
              <w:spacing w:after="30" w:before="30"/>
            </w:pPr>
            <w:r>
              <w:rPr>
                <w:rFonts w:ascii="Arial" w:cs="Arial" w:eastAsia="Arial" w:hAnsi="Arial"/>
                <w:color w:val="2E5FA3"/>
                <w:sz w:val="20"/>
                <w:szCs w:val="20"/>
              </w:rPr>
              <w:t xml:space="preserve">Complaints are handled under the Prevention of Sexual Harassment (POSH) Policy and the Grievance Redressal Policy.</w:t>
            </w:r>
          </w:p>
        </w:tc>
      </w:tr>
    </w:tbl>
    <w:p>
      <w:pPr>
        <w:spacing w:after="0" w:before="80"/>
      </w:pPr>
    </w:p>
    <w:p>
      <w:pPr>
        <w:spacing w:after="60" w:before="60"/>
      </w:pPr>
      <w:r>
        <w:rPr>
          <w:rFonts w:ascii="Arial" w:cs="Arial" w:eastAsia="Arial" w:hAnsi="Arial"/>
          <w:color w:val="000000"/>
          <w:sz w:val="20"/>
          <w:szCs w:val="20"/>
        </w:rPr>
        <w:t xml:space="preserve">Prohibited conduct includes, but is not limited to:</w:t>
      </w:r>
    </w:p>
    <w:p>
      <w:pPr>
        <w:pStyle w:val="ListParagraph"/>
        <w:numPr>
          <w:ilvl w:val="0"/>
          <w:numId w:val="2"/>
        </w:numPr>
        <w:spacing w:after="40" w:before="40"/>
      </w:pPr>
      <w:r>
        <w:rPr>
          <w:rFonts w:ascii="Arial" w:cs="Arial" w:eastAsia="Arial" w:hAnsi="Arial"/>
          <w:sz w:val="20"/>
          <w:szCs w:val="20"/>
        </w:rPr>
        <w:t xml:space="preserve">Sexual harassment or unwelcome sexual advances</w:t>
      </w:r>
    </w:p>
    <w:p>
      <w:pPr>
        <w:pStyle w:val="ListParagraph"/>
        <w:numPr>
          <w:ilvl w:val="0"/>
          <w:numId w:val="2"/>
        </w:numPr>
        <w:spacing w:after="40" w:before="40"/>
      </w:pPr>
      <w:r>
        <w:rPr>
          <w:rFonts w:ascii="Arial" w:cs="Arial" w:eastAsia="Arial" w:hAnsi="Arial"/>
          <w:sz w:val="20"/>
          <w:szCs w:val="20"/>
        </w:rPr>
        <w:t xml:space="preserve">Verbal abuse, threats, or aggressive behaviour</w:t>
      </w:r>
    </w:p>
    <w:p>
      <w:pPr>
        <w:pStyle w:val="ListParagraph"/>
        <w:numPr>
          <w:ilvl w:val="0"/>
          <w:numId w:val="2"/>
        </w:numPr>
        <w:spacing w:after="40" w:before="40"/>
      </w:pPr>
      <w:r>
        <w:rPr>
          <w:rFonts w:ascii="Arial" w:cs="Arial" w:eastAsia="Arial" w:hAnsi="Arial"/>
          <w:sz w:val="20"/>
          <w:szCs w:val="20"/>
        </w:rPr>
        <w:t xml:space="preserve">Spreading false rumours or engaging in workplace gossip that harms others</w:t>
      </w:r>
    </w:p>
    <w:p>
      <w:pPr>
        <w:pStyle w:val="ListParagraph"/>
        <w:numPr>
          <w:ilvl w:val="0"/>
          <w:numId w:val="2"/>
        </w:numPr>
        <w:spacing w:after="40" w:before="40"/>
      </w:pPr>
      <w:r>
        <w:rPr>
          <w:rFonts w:ascii="Arial" w:cs="Arial" w:eastAsia="Arial" w:hAnsi="Arial"/>
          <w:sz w:val="20"/>
          <w:szCs w:val="20"/>
        </w:rPr>
        <w:t xml:space="preserve">Cyberbullying, trolling, or harassment via digital platforms</w:t>
      </w:r>
    </w:p>
    <w:p>
      <w:pPr>
        <w:pStyle w:val="ListParagraph"/>
        <w:numPr>
          <w:ilvl w:val="0"/>
          <w:numId w:val="2"/>
        </w:numPr>
        <w:spacing w:after="40" w:before="40"/>
      </w:pPr>
      <w:r>
        <w:rPr>
          <w:rFonts w:ascii="Arial" w:cs="Arial" w:eastAsia="Arial" w:hAnsi="Arial"/>
          <w:sz w:val="20"/>
          <w:szCs w:val="20"/>
        </w:rPr>
        <w:t xml:space="preserve">Intimidation, coercion, or victimisation of anyone who reports a concern</w:t>
      </w:r>
    </w:p>
    <w:p>
      <w:pPr>
        <w:spacing w:after="0" w:before="80"/>
      </w:pPr>
    </w:p>
    <w:p>
      <w:pPr>
        <w:pStyle w:val="Heading1"/>
        <w:pBdr>
          <w:bottom w:val="single" w:color="2E5FA3" w:sz="4" w:space="4"/>
        </w:pBdr>
        <w:spacing w:after="100" w:before="280"/>
      </w:pPr>
      <w:r>
        <w:rPr>
          <w:rFonts w:ascii="Arial" w:cs="Arial" w:eastAsia="Arial" w:hAnsi="Arial"/>
          <w:b/>
          <w:bCs/>
          <w:color w:val="1F3864"/>
          <w:sz w:val="30"/>
          <w:szCs w:val="30"/>
        </w:rPr>
        <w:t xml:space="preserve">5. Conflict of Interest</w:t>
      </w:r>
    </w:p>
    <w:p>
      <w:pPr>
        <w:spacing w:after="60" w:before="60"/>
      </w:pPr>
      <w:r>
        <w:rPr>
          <w:rFonts w:ascii="Arial" w:cs="Arial" w:eastAsia="Arial" w:hAnsi="Arial"/>
          <w:color w:val="000000"/>
          <w:sz w:val="20"/>
          <w:szCs w:val="20"/>
        </w:rPr>
        <w:t xml:space="preserve">Employees must avoid situations where personal interests conflict — or appear to conflict — with the interests of the organisation.</w:t>
      </w:r>
    </w:p>
    <w:p>
      <w:pPr>
        <w:pStyle w:val="ListParagraph"/>
        <w:numPr>
          <w:ilvl w:val="0"/>
          <w:numId w:val="2"/>
        </w:numPr>
        <w:spacing w:after="40" w:before="40"/>
      </w:pPr>
      <w:r>
        <w:rPr>
          <w:rFonts w:ascii="Arial" w:cs="Arial" w:eastAsia="Arial" w:hAnsi="Arial"/>
          <w:sz w:val="20"/>
          <w:szCs w:val="20"/>
        </w:rPr>
        <w:t xml:space="preserve">Disclose any personal, financial, or familial relationships that may create a conflict of interest to your manager and HR</w:t>
      </w:r>
    </w:p>
    <w:p>
      <w:pPr>
        <w:pStyle w:val="ListParagraph"/>
        <w:numPr>
          <w:ilvl w:val="0"/>
          <w:numId w:val="2"/>
        </w:numPr>
        <w:spacing w:after="40" w:before="40"/>
      </w:pPr>
      <w:r>
        <w:rPr>
          <w:rFonts w:ascii="Arial" w:cs="Arial" w:eastAsia="Arial" w:hAnsi="Arial"/>
          <w:sz w:val="20"/>
          <w:szCs w:val="20"/>
        </w:rPr>
        <w:t xml:space="preserve">Do not engage in secondary employment or business activities that compete with or negatively impact your role</w:t>
      </w:r>
    </w:p>
    <w:p>
      <w:pPr>
        <w:pStyle w:val="ListParagraph"/>
        <w:numPr>
          <w:ilvl w:val="0"/>
          <w:numId w:val="2"/>
        </w:numPr>
        <w:spacing w:after="40" w:before="40"/>
      </w:pPr>
      <w:r>
        <w:rPr>
          <w:rFonts w:ascii="Arial" w:cs="Arial" w:eastAsia="Arial" w:hAnsi="Arial"/>
          <w:sz w:val="20"/>
          <w:szCs w:val="20"/>
        </w:rPr>
        <w:t xml:space="preserve">Do not use your position to obtain personal advantages, gifts, or benefits beyond approved entitlements</w:t>
      </w:r>
    </w:p>
    <w:p>
      <w:pPr>
        <w:pStyle w:val="ListParagraph"/>
        <w:numPr>
          <w:ilvl w:val="0"/>
          <w:numId w:val="2"/>
        </w:numPr>
        <w:spacing w:after="40" w:before="40"/>
      </w:pPr>
      <w:r>
        <w:rPr>
          <w:rFonts w:ascii="Arial" w:cs="Arial" w:eastAsia="Arial" w:hAnsi="Arial"/>
          <w:sz w:val="20"/>
          <w:szCs w:val="20"/>
        </w:rPr>
        <w:t xml:space="preserve">Do not participate in decisions where you have a personal interest in the outcome</w:t>
      </w:r>
    </w:p>
    <w:p>
      <w:pPr>
        <w:spacing w:after="60" w:before="60"/>
      </w:pPr>
      <w:r>
        <w:rPr>
          <w:rFonts w:ascii="Arial" w:cs="Arial" w:eastAsia="Arial" w:hAnsi="Arial"/>
          <w:color w:val="000000"/>
          <w:sz w:val="20"/>
          <w:szCs w:val="20"/>
        </w:rPr>
        <w:t xml:space="preserve">Disclosures made in good faith will be handled with confidentiality and without retaliation.</w:t>
      </w:r>
    </w:p>
    <w:p>
      <w:pPr>
        <w:spacing w:after="0" w:before="80"/>
      </w:pPr>
    </w:p>
    <w:p>
      <w:pPr>
        <w:pStyle w:val="Heading1"/>
        <w:pBdr>
          <w:bottom w:val="single" w:color="2E5FA3" w:sz="4" w:space="4"/>
        </w:pBdr>
        <w:spacing w:after="100" w:before="280"/>
      </w:pPr>
      <w:r>
        <w:rPr>
          <w:rFonts w:ascii="Arial" w:cs="Arial" w:eastAsia="Arial" w:hAnsi="Arial"/>
          <w:b/>
          <w:bCs/>
          <w:color w:val="1F3864"/>
          <w:sz w:val="30"/>
          <w:szCs w:val="30"/>
        </w:rPr>
        <w:t xml:space="preserve">6. Confidentiality &amp; Data Privacy</w:t>
      </w:r>
    </w:p>
    <w:p>
      <w:pPr>
        <w:pStyle w:val="Heading2"/>
        <w:spacing w:after="80" w:before="200"/>
      </w:pPr>
      <w:r>
        <w:rPr>
          <w:rFonts w:ascii="Arial" w:cs="Arial" w:eastAsia="Arial" w:hAnsi="Arial"/>
          <w:b/>
          <w:bCs/>
          <w:color w:val="2E5FA3"/>
          <w:sz w:val="24"/>
          <w:szCs w:val="24"/>
        </w:rPr>
        <w:t xml:space="preserve">6.1 Confidential Information</w:t>
      </w:r>
    </w:p>
    <w:p>
      <w:pPr>
        <w:spacing w:after="60" w:before="60"/>
      </w:pPr>
      <w:r>
        <w:rPr>
          <w:rFonts w:ascii="Arial" w:cs="Arial" w:eastAsia="Arial" w:hAnsi="Arial"/>
          <w:color w:val="000000"/>
          <w:sz w:val="20"/>
          <w:szCs w:val="20"/>
        </w:rPr>
        <w:t xml:space="preserve">Employees have access to confidential business information as part of their role. This must be protected at all times.</w:t>
      </w:r>
    </w:p>
    <w:p>
      <w:pPr>
        <w:pStyle w:val="ListParagraph"/>
        <w:numPr>
          <w:ilvl w:val="0"/>
          <w:numId w:val="2"/>
        </w:numPr>
        <w:spacing w:after="40" w:before="40"/>
      </w:pPr>
      <w:r>
        <w:rPr>
          <w:rFonts w:ascii="Arial" w:cs="Arial" w:eastAsia="Arial" w:hAnsi="Arial"/>
          <w:sz w:val="20"/>
          <w:szCs w:val="20"/>
        </w:rPr>
        <w:t xml:space="preserve">Do not share proprietary business information, trade secrets, or strategic plans with unauthorised parties</w:t>
      </w:r>
    </w:p>
    <w:p>
      <w:pPr>
        <w:pStyle w:val="ListParagraph"/>
        <w:numPr>
          <w:ilvl w:val="0"/>
          <w:numId w:val="2"/>
        </w:numPr>
        <w:spacing w:after="40" w:before="40"/>
      </w:pPr>
      <w:r>
        <w:rPr>
          <w:rFonts w:ascii="Arial" w:cs="Arial" w:eastAsia="Arial" w:hAnsi="Arial"/>
          <w:sz w:val="20"/>
          <w:szCs w:val="20"/>
        </w:rPr>
        <w:t xml:space="preserve">Non-Disclosure Agreements (NDAs) must be honoured, including after employment ends</w:t>
      </w:r>
    </w:p>
    <w:p>
      <w:pPr>
        <w:pStyle w:val="ListParagraph"/>
        <w:numPr>
          <w:ilvl w:val="0"/>
          <w:numId w:val="2"/>
        </w:numPr>
        <w:spacing w:after="40" w:before="40"/>
      </w:pPr>
      <w:r>
        <w:rPr>
          <w:rFonts w:ascii="Arial" w:cs="Arial" w:eastAsia="Arial" w:hAnsi="Arial"/>
          <w:sz w:val="20"/>
          <w:szCs w:val="20"/>
        </w:rPr>
        <w:t xml:space="preserve">Any employee who shares confidential information without authorisation may face legal and disciplinary consequences</w:t>
      </w:r>
    </w:p>
    <w:p>
      <w:pPr>
        <w:pStyle w:val="Heading2"/>
        <w:spacing w:after="80" w:before="200"/>
      </w:pPr>
      <w:r>
        <w:rPr>
          <w:rFonts w:ascii="Arial" w:cs="Arial" w:eastAsia="Arial" w:hAnsi="Arial"/>
          <w:b/>
          <w:bCs/>
          <w:color w:val="2E5FA3"/>
          <w:sz w:val="24"/>
          <w:szCs w:val="24"/>
        </w:rPr>
        <w:t xml:space="preserve">6.2 Personal Data of Employees and Customers</w:t>
      </w:r>
    </w:p>
    <w:p>
      <w:pPr>
        <w:pStyle w:val="ListParagraph"/>
        <w:numPr>
          <w:ilvl w:val="0"/>
          <w:numId w:val="2"/>
        </w:numPr>
        <w:spacing w:after="40" w:before="40"/>
      </w:pPr>
      <w:r>
        <w:rPr>
          <w:rFonts w:ascii="Arial" w:cs="Arial" w:eastAsia="Arial" w:hAnsi="Arial"/>
          <w:sz w:val="20"/>
          <w:szCs w:val="20"/>
        </w:rPr>
        <w:t xml:space="preserve">Handle personal data only for the purpose for which it was collected</w:t>
      </w:r>
    </w:p>
    <w:p>
      <w:pPr>
        <w:pStyle w:val="ListParagraph"/>
        <w:numPr>
          <w:ilvl w:val="0"/>
          <w:numId w:val="2"/>
        </w:numPr>
        <w:spacing w:after="40" w:before="40"/>
      </w:pPr>
      <w:r>
        <w:rPr>
          <w:rFonts w:ascii="Arial" w:cs="Arial" w:eastAsia="Arial" w:hAnsi="Arial"/>
          <w:sz w:val="20"/>
          <w:szCs w:val="20"/>
        </w:rPr>
        <w:t xml:space="preserve">Follow the organisation's Data Protection Policy and applicable privacy laws</w:t>
      </w:r>
    </w:p>
    <w:p>
      <w:pPr>
        <w:pStyle w:val="ListParagraph"/>
        <w:numPr>
          <w:ilvl w:val="0"/>
          <w:numId w:val="2"/>
        </w:numPr>
        <w:spacing w:after="40" w:before="40"/>
      </w:pPr>
      <w:r>
        <w:rPr>
          <w:rFonts w:ascii="Arial" w:cs="Arial" w:eastAsia="Arial" w:hAnsi="Arial"/>
          <w:sz w:val="20"/>
          <w:szCs w:val="20"/>
        </w:rPr>
        <w:t xml:space="preserve">Do not share employee or customer data outside the scope of your role or to unauthorised individuals</w:t>
      </w:r>
    </w:p>
    <w:p>
      <w:pPr>
        <w:pStyle w:val="ListParagraph"/>
        <w:numPr>
          <w:ilvl w:val="0"/>
          <w:numId w:val="2"/>
        </w:numPr>
        <w:spacing w:after="40" w:before="40"/>
      </w:pPr>
      <w:r>
        <w:rPr>
          <w:rFonts w:ascii="Arial" w:cs="Arial" w:eastAsia="Arial" w:hAnsi="Arial"/>
          <w:sz w:val="20"/>
          <w:szCs w:val="20"/>
        </w:rPr>
        <w:t xml:space="preserve">Report any suspected data breach immediately to IT Security and HR</w:t>
      </w:r>
    </w:p>
    <w:p>
      <w:pPr>
        <w:spacing w:after="0" w:before="80"/>
      </w:pPr>
    </w:p>
    <w:p>
      <w:pPr>
        <w:pStyle w:val="Heading1"/>
        <w:pBdr>
          <w:bottom w:val="single" w:color="2E5FA3" w:sz="4" w:space="4"/>
        </w:pBdr>
        <w:spacing w:after="100" w:before="280"/>
      </w:pPr>
      <w:r>
        <w:rPr>
          <w:rFonts w:ascii="Arial" w:cs="Arial" w:eastAsia="Arial" w:hAnsi="Arial"/>
          <w:b/>
          <w:bCs/>
          <w:color w:val="1F3864"/>
          <w:sz w:val="30"/>
          <w:szCs w:val="30"/>
        </w:rPr>
        <w:t xml:space="preserve">7. Use of Company Assets</w:t>
      </w:r>
    </w:p>
    <w:p>
      <w:pPr>
        <w:pStyle w:val="ListParagraph"/>
        <w:numPr>
          <w:ilvl w:val="0"/>
          <w:numId w:val="2"/>
        </w:numPr>
        <w:spacing w:after="40" w:before="40"/>
      </w:pPr>
      <w:r>
        <w:rPr>
          <w:rFonts w:ascii="Arial" w:cs="Arial" w:eastAsia="Arial" w:hAnsi="Arial"/>
          <w:sz w:val="20"/>
          <w:szCs w:val="20"/>
        </w:rPr>
        <w:t xml:space="preserve">Use company-provided equipment (laptops, phones, vehicles) primarily for business purposes</w:t>
      </w:r>
    </w:p>
    <w:p>
      <w:pPr>
        <w:pStyle w:val="ListParagraph"/>
        <w:numPr>
          <w:ilvl w:val="0"/>
          <w:numId w:val="2"/>
        </w:numPr>
        <w:spacing w:after="40" w:before="40"/>
      </w:pPr>
      <w:r>
        <w:rPr>
          <w:rFonts w:ascii="Arial" w:cs="Arial" w:eastAsia="Arial" w:hAnsi="Arial"/>
          <w:sz w:val="20"/>
          <w:szCs w:val="20"/>
        </w:rPr>
        <w:t xml:space="preserve">Personal use of company assets should be minimal and must not interfere with business activities</w:t>
      </w:r>
    </w:p>
    <w:p>
      <w:pPr>
        <w:pStyle w:val="ListParagraph"/>
        <w:numPr>
          <w:ilvl w:val="0"/>
          <w:numId w:val="2"/>
        </w:numPr>
        <w:spacing w:after="40" w:before="40"/>
      </w:pPr>
      <w:r>
        <w:rPr>
          <w:rFonts w:ascii="Arial" w:cs="Arial" w:eastAsia="Arial" w:hAnsi="Arial"/>
          <w:sz w:val="20"/>
          <w:szCs w:val="20"/>
        </w:rPr>
        <w:t xml:space="preserve">Do not install unauthorised software on company devices</w:t>
      </w:r>
    </w:p>
    <w:p>
      <w:pPr>
        <w:pStyle w:val="ListParagraph"/>
        <w:numPr>
          <w:ilvl w:val="0"/>
          <w:numId w:val="2"/>
        </w:numPr>
        <w:spacing w:after="40" w:before="40"/>
      </w:pPr>
      <w:r>
        <w:rPr>
          <w:rFonts w:ascii="Arial" w:cs="Arial" w:eastAsia="Arial" w:hAnsi="Arial"/>
          <w:sz w:val="20"/>
          <w:szCs w:val="20"/>
        </w:rPr>
        <w:t xml:space="preserve">Do not access inappropriate, illegal, or offensive content on company networks or systems</w:t>
      </w:r>
    </w:p>
    <w:p>
      <w:pPr>
        <w:pStyle w:val="ListParagraph"/>
        <w:numPr>
          <w:ilvl w:val="0"/>
          <w:numId w:val="2"/>
        </w:numPr>
        <w:spacing w:after="40" w:before="40"/>
      </w:pPr>
      <w:r>
        <w:rPr>
          <w:rFonts w:ascii="Arial" w:cs="Arial" w:eastAsia="Arial" w:hAnsi="Arial"/>
          <w:sz w:val="20"/>
          <w:szCs w:val="20"/>
        </w:rPr>
        <w:t xml:space="preserve">Report lost or stolen company property immediately to IT and HR</w:t>
      </w:r>
    </w:p>
    <w:p>
      <w:pPr>
        <w:pStyle w:val="ListParagraph"/>
        <w:numPr>
          <w:ilvl w:val="0"/>
          <w:numId w:val="2"/>
        </w:numPr>
        <w:spacing w:after="40" w:before="40"/>
      </w:pPr>
      <w:r>
        <w:rPr>
          <w:rFonts w:ascii="Arial" w:cs="Arial" w:eastAsia="Arial" w:hAnsi="Arial"/>
          <w:sz w:val="20"/>
          <w:szCs w:val="20"/>
        </w:rPr>
        <w:t xml:space="preserve">Return all company property upon resignation, retirement, or termination</w:t>
      </w:r>
    </w:p>
    <w:p>
      <w:pPr>
        <w:spacing w:after="0" w:before="80"/>
      </w:pPr>
    </w:p>
    <w:p>
      <w:pPr>
        <w:pStyle w:val="Heading1"/>
        <w:pBdr>
          <w:bottom w:val="single" w:color="2E5FA3" w:sz="4" w:space="4"/>
        </w:pBdr>
        <w:spacing w:after="100" w:before="280"/>
      </w:pPr>
      <w:r>
        <w:rPr>
          <w:rFonts w:ascii="Arial" w:cs="Arial" w:eastAsia="Arial" w:hAnsi="Arial"/>
          <w:b/>
          <w:bCs/>
          <w:color w:val="1F3864"/>
          <w:sz w:val="30"/>
          <w:szCs w:val="30"/>
        </w:rPr>
        <w:t xml:space="preserve">8. Social Media &amp; External Communications</w:t>
      </w:r>
    </w:p>
    <w:p>
      <w:pPr>
        <w:spacing w:after="60" w:before="60"/>
      </w:pPr>
      <w:r>
        <w:rPr>
          <w:rFonts w:ascii="Arial" w:cs="Arial" w:eastAsia="Arial" w:hAnsi="Arial"/>
          <w:color w:val="000000"/>
          <w:sz w:val="20"/>
          <w:szCs w:val="20"/>
        </w:rPr>
        <w:t xml:space="preserve">Employees are personally responsible for their social media conduct, even on personal accounts, if it could affect the organisation.</w:t>
      </w:r>
    </w:p>
    <w:p>
      <w:pPr>
        <w:pStyle w:val="ListParagraph"/>
        <w:numPr>
          <w:ilvl w:val="0"/>
          <w:numId w:val="2"/>
        </w:numPr>
        <w:spacing w:after="40" w:before="40"/>
      </w:pPr>
      <w:r>
        <w:rPr>
          <w:rFonts w:ascii="Arial" w:cs="Arial" w:eastAsia="Arial" w:hAnsi="Arial"/>
          <w:sz w:val="20"/>
          <w:szCs w:val="20"/>
        </w:rPr>
        <w:t xml:space="preserve">Do not post confidential, proprietary, or defamatory content about the company, clients, or colleagues</w:t>
      </w:r>
    </w:p>
    <w:p>
      <w:pPr>
        <w:pStyle w:val="ListParagraph"/>
        <w:numPr>
          <w:ilvl w:val="0"/>
          <w:numId w:val="2"/>
        </w:numPr>
        <w:spacing w:after="40" w:before="40"/>
      </w:pPr>
      <w:r>
        <w:rPr>
          <w:rFonts w:ascii="Arial" w:cs="Arial" w:eastAsia="Arial" w:hAnsi="Arial"/>
          <w:sz w:val="20"/>
          <w:szCs w:val="20"/>
        </w:rPr>
        <w:t xml:space="preserve">Do not represent personal opinions as the organisation's official views</w:t>
      </w:r>
    </w:p>
    <w:p>
      <w:pPr>
        <w:pStyle w:val="ListParagraph"/>
        <w:numPr>
          <w:ilvl w:val="0"/>
          <w:numId w:val="2"/>
        </w:numPr>
        <w:spacing w:after="40" w:before="40"/>
      </w:pPr>
      <w:r>
        <w:rPr>
          <w:rFonts w:ascii="Arial" w:cs="Arial" w:eastAsia="Arial" w:hAnsi="Arial"/>
          <w:sz w:val="20"/>
          <w:szCs w:val="20"/>
        </w:rPr>
        <w:t xml:space="preserve">When in doubt about posting work-related content, seek approval from Marketing/Communications</w:t>
      </w:r>
    </w:p>
    <w:p>
      <w:pPr>
        <w:pStyle w:val="ListParagraph"/>
        <w:numPr>
          <w:ilvl w:val="0"/>
          <w:numId w:val="2"/>
        </w:numPr>
        <w:spacing w:after="40" w:before="40"/>
      </w:pPr>
      <w:r>
        <w:rPr>
          <w:rFonts w:ascii="Arial" w:cs="Arial" w:eastAsia="Arial" w:hAnsi="Arial"/>
          <w:sz w:val="20"/>
          <w:szCs w:val="20"/>
        </w:rPr>
        <w:t xml:space="preserve">Employees who are official company spokespersons must follow the media and communications guidelines</w:t>
      </w:r>
    </w:p>
    <w:p>
      <w:pPr>
        <w:spacing w:after="0" w:before="80"/>
      </w:pPr>
    </w:p>
    <w:p>
      <w:pPr>
        <w:pStyle w:val="Heading1"/>
        <w:pBdr>
          <w:bottom w:val="single" w:color="2E5FA3" w:sz="4" w:space="4"/>
        </w:pBdr>
        <w:spacing w:after="100" w:before="280"/>
      </w:pPr>
      <w:r>
        <w:rPr>
          <w:rFonts w:ascii="Arial" w:cs="Arial" w:eastAsia="Arial" w:hAnsi="Arial"/>
          <w:b/>
          <w:bCs/>
          <w:color w:val="1F3864"/>
          <w:sz w:val="30"/>
          <w:szCs w:val="30"/>
        </w:rPr>
        <w:t xml:space="preserve">9. Anti-Bribery &amp; Gifts Policy</w:t>
      </w:r>
    </w:p>
    <w:p>
      <w:pPr>
        <w:pStyle w:val="Heading2"/>
        <w:spacing w:after="80" w:before="200"/>
      </w:pPr>
      <w:r>
        <w:rPr>
          <w:rFonts w:ascii="Arial" w:cs="Arial" w:eastAsia="Arial" w:hAnsi="Arial"/>
          <w:b/>
          <w:bCs/>
          <w:color w:val="2E5FA3"/>
          <w:sz w:val="24"/>
          <w:szCs w:val="24"/>
        </w:rPr>
        <w:t xml:space="preserve">9.1 Giving &amp; Receiving Gifts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Gift Value</w:t>
            </w:r>
          </w:p>
        </w:tc>
        <w:tc>
          <w:tcPr>
            <w:tcW w:type="dxa" w:w="5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Action Required</w:t>
            </w:r>
          </w:p>
        </w:tc>
      </w:tr>
      <w:tr>
        <w:tc>
          <w:tcPr>
            <w:tcW w:type="dxa" w:w="3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Below Rs. 500 / USD 10</w:t>
            </w:r>
          </w:p>
        </w:tc>
        <w:tc>
          <w:tcPr>
            <w:tcW w:type="dxa" w:w="55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Acceptable; no disclosure required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Rs. 500 – Rs. 2,000 / USD 10 – USD 50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Acceptable; disclose to manager</w:t>
            </w:r>
          </w:p>
        </w:tc>
      </w:tr>
      <w:tr>
        <w:tc>
          <w:tcPr>
            <w:tcW w:type="dxa" w:w="3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Above Rs. 2,000 / USD 50</w:t>
            </w:r>
          </w:p>
        </w:tc>
        <w:tc>
          <w:tcPr>
            <w:tcW w:type="dxa" w:w="55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Must decline or return with explanation; report to HR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Cash, gift cards, or equivalent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Never acceptable under any circumstances</w:t>
            </w:r>
          </w:p>
        </w:tc>
      </w:tr>
    </w:tbl>
    <w:p>
      <w:pPr>
        <w:spacing w:after="0" w:before="80"/>
      </w:pPr>
    </w:p>
    <w:p>
      <w:pPr>
        <w:pStyle w:val="ListParagraph"/>
        <w:numPr>
          <w:ilvl w:val="0"/>
          <w:numId w:val="2"/>
        </w:numPr>
        <w:spacing w:after="40" w:before="40"/>
      </w:pPr>
      <w:r>
        <w:rPr>
          <w:rFonts w:ascii="Arial" w:cs="Arial" w:eastAsia="Arial" w:hAnsi="Arial"/>
          <w:sz w:val="20"/>
          <w:szCs w:val="20"/>
        </w:rPr>
        <w:t xml:space="preserve">The above limits apply to gifts from clients, vendors, or any external party</w:t>
      </w:r>
    </w:p>
    <w:p>
      <w:pPr>
        <w:pStyle w:val="ListParagraph"/>
        <w:numPr>
          <w:ilvl w:val="0"/>
          <w:numId w:val="2"/>
        </w:numPr>
        <w:spacing w:after="40" w:before="40"/>
      </w:pPr>
      <w:r>
        <w:rPr>
          <w:rFonts w:ascii="Arial" w:cs="Arial" w:eastAsia="Arial" w:hAnsi="Arial"/>
          <w:sz w:val="20"/>
          <w:szCs w:val="20"/>
        </w:rPr>
        <w:t xml:space="preserve">Gifts received during festive seasons should be declared to HR and may be shared team-wide</w:t>
      </w:r>
    </w:p>
    <w:p>
      <w:pPr>
        <w:pStyle w:val="ListParagraph"/>
        <w:numPr>
          <w:ilvl w:val="0"/>
          <w:numId w:val="2"/>
        </w:numPr>
        <w:spacing w:after="40" w:before="40"/>
      </w:pPr>
      <w:r>
        <w:rPr>
          <w:rFonts w:ascii="Arial" w:cs="Arial" w:eastAsia="Arial" w:hAnsi="Arial"/>
          <w:sz w:val="20"/>
          <w:szCs w:val="20"/>
        </w:rPr>
        <w:t xml:space="preserve">Offering gifts to influence a business decision is strictly prohibited and may constitute bribery</w:t>
      </w:r>
    </w:p>
    <w:p>
      <w:pPr>
        <w:spacing w:after="0" w:before="80"/>
      </w:pPr>
    </w:p>
    <w:p>
      <w:pPr>
        <w:pStyle w:val="Heading1"/>
        <w:pBdr>
          <w:bottom w:val="single" w:color="2E5FA3" w:sz="4" w:space="4"/>
        </w:pBdr>
        <w:spacing w:after="100" w:before="280"/>
      </w:pPr>
      <w:r>
        <w:rPr>
          <w:rFonts w:ascii="Arial" w:cs="Arial" w:eastAsia="Arial" w:hAnsi="Arial"/>
          <w:b/>
          <w:bCs/>
          <w:color w:val="1F3864"/>
          <w:sz w:val="30"/>
          <w:szCs w:val="30"/>
        </w:rPr>
        <w:t xml:space="preserve">10. Health, Safety &amp; Wellbeing</w:t>
      </w:r>
    </w:p>
    <w:p>
      <w:pPr>
        <w:pStyle w:val="ListParagraph"/>
        <w:numPr>
          <w:ilvl w:val="0"/>
          <w:numId w:val="2"/>
        </w:numPr>
        <w:spacing w:after="40" w:before="40"/>
      </w:pPr>
      <w:r>
        <w:rPr>
          <w:rFonts w:ascii="Arial" w:cs="Arial" w:eastAsia="Arial" w:hAnsi="Arial"/>
          <w:sz w:val="20"/>
          <w:szCs w:val="20"/>
        </w:rPr>
        <w:t xml:space="preserve">Employees must not come to work under the influence of alcohol, illegal drugs, or substances that impair judgment</w:t>
      </w:r>
    </w:p>
    <w:p>
      <w:pPr>
        <w:pStyle w:val="ListParagraph"/>
        <w:numPr>
          <w:ilvl w:val="0"/>
          <w:numId w:val="2"/>
        </w:numPr>
        <w:spacing w:after="40" w:before="40"/>
      </w:pPr>
      <w:r>
        <w:rPr>
          <w:rFonts w:ascii="Arial" w:cs="Arial" w:eastAsia="Arial" w:hAnsi="Arial"/>
          <w:sz w:val="20"/>
          <w:szCs w:val="20"/>
        </w:rPr>
        <w:t xml:space="preserve">Smoking is only permitted in designated areas and not within company premises</w:t>
      </w:r>
    </w:p>
    <w:p>
      <w:pPr>
        <w:pStyle w:val="ListParagraph"/>
        <w:numPr>
          <w:ilvl w:val="0"/>
          <w:numId w:val="2"/>
        </w:numPr>
        <w:spacing w:after="40" w:before="40"/>
      </w:pPr>
      <w:r>
        <w:rPr>
          <w:rFonts w:ascii="Arial" w:cs="Arial" w:eastAsia="Arial" w:hAnsi="Arial"/>
          <w:sz w:val="20"/>
          <w:szCs w:val="20"/>
        </w:rPr>
        <w:t xml:space="preserve">Report any unsafe working conditions, accidents, or near-misses to the Facilities/HSE team immediately</w:t>
      </w:r>
    </w:p>
    <w:p>
      <w:pPr>
        <w:pStyle w:val="ListParagraph"/>
        <w:numPr>
          <w:ilvl w:val="0"/>
          <w:numId w:val="2"/>
        </w:numPr>
        <w:spacing w:after="40" w:before="40"/>
      </w:pPr>
      <w:r>
        <w:rPr>
          <w:rFonts w:ascii="Arial" w:cs="Arial" w:eastAsia="Arial" w:hAnsi="Arial"/>
          <w:sz w:val="20"/>
          <w:szCs w:val="20"/>
        </w:rPr>
        <w:t xml:space="preserve">Employees are encouraged to raise wellbeing concerns with HR — confidential counselling support is available</w:t>
      </w:r>
    </w:p>
    <w:p>
      <w:pPr>
        <w:spacing w:after="0" w:before="80"/>
      </w:pPr>
    </w:p>
    <w:p>
      <w:pPr>
        <w:pStyle w:val="Heading1"/>
        <w:pBdr>
          <w:bottom w:val="single" w:color="2E5FA3" w:sz="4" w:space="4"/>
        </w:pBdr>
        <w:spacing w:after="100" w:before="280"/>
      </w:pPr>
      <w:r>
        <w:rPr>
          <w:rFonts w:ascii="Arial" w:cs="Arial" w:eastAsia="Arial" w:hAnsi="Arial"/>
          <w:b/>
          <w:bCs/>
          <w:color w:val="1F3864"/>
          <w:sz w:val="30"/>
          <w:szCs w:val="30"/>
        </w:rPr>
        <w:t xml:space="preserve">11. Reporting Violations</w:t>
      </w:r>
    </w:p>
    <w:p>
      <w:pPr>
        <w:pStyle w:val="Heading2"/>
        <w:spacing w:after="80" w:before="200"/>
      </w:pPr>
      <w:r>
        <w:rPr>
          <w:rFonts w:ascii="Arial" w:cs="Arial" w:eastAsia="Arial" w:hAnsi="Arial"/>
          <w:b/>
          <w:bCs/>
          <w:color w:val="2E5FA3"/>
          <w:sz w:val="24"/>
          <w:szCs w:val="24"/>
        </w:rPr>
        <w:t xml:space="preserve">11.1 How to Report</w:t>
      </w:r>
    </w:p>
    <w:p>
      <w:pPr>
        <w:spacing w:after="60" w:before="60"/>
      </w:pPr>
      <w:r>
        <w:rPr>
          <w:rFonts w:ascii="Arial" w:cs="Arial" w:eastAsia="Arial" w:hAnsi="Arial"/>
          <w:color w:val="000000"/>
          <w:sz w:val="20"/>
          <w:szCs w:val="20"/>
        </w:rPr>
        <w:t xml:space="preserve">Employees who become aware of a suspected violation of this policy are encouraged to report it through any of the following channels:</w:t>
      </w:r>
    </w:p>
    <w:p>
      <w:pPr>
        <w:pStyle w:val="ListParagraph"/>
        <w:numPr>
          <w:ilvl w:val="0"/>
          <w:numId w:val="2"/>
        </w:numPr>
        <w:spacing w:after="40" w:before="40"/>
      </w:pPr>
      <w:r>
        <w:rPr>
          <w:rFonts w:ascii="Arial" w:cs="Arial" w:eastAsia="Arial" w:hAnsi="Arial"/>
          <w:sz w:val="20"/>
          <w:szCs w:val="20"/>
        </w:rPr>
        <w:t xml:space="preserve">Direct manager or skip-level manager</w:t>
      </w:r>
    </w:p>
    <w:p>
      <w:pPr>
        <w:pStyle w:val="ListParagraph"/>
        <w:numPr>
          <w:ilvl w:val="0"/>
          <w:numId w:val="2"/>
        </w:numPr>
        <w:spacing w:after="40" w:before="40"/>
      </w:pPr>
      <w:r>
        <w:rPr>
          <w:rFonts w:ascii="Arial" w:cs="Arial" w:eastAsia="Arial" w:hAnsi="Arial"/>
          <w:sz w:val="20"/>
          <w:szCs w:val="20"/>
        </w:rPr>
        <w:t xml:space="preserve">HR Department (hr@company.com)</w:t>
      </w:r>
    </w:p>
    <w:p>
      <w:pPr>
        <w:pStyle w:val="ListParagraph"/>
        <w:numPr>
          <w:ilvl w:val="0"/>
          <w:numId w:val="2"/>
        </w:numPr>
        <w:spacing w:after="40" w:before="40"/>
      </w:pPr>
      <w:r>
        <w:rPr>
          <w:rFonts w:ascii="Arial" w:cs="Arial" w:eastAsia="Arial" w:hAnsi="Arial"/>
          <w:sz w:val="20"/>
          <w:szCs w:val="20"/>
        </w:rPr>
        <w:t xml:space="preserve">Anonymous Ethics Hotline (available on the HR portal)</w:t>
      </w:r>
    </w:p>
    <w:p>
      <w:pPr>
        <w:pStyle w:val="ListParagraph"/>
        <w:numPr>
          <w:ilvl w:val="0"/>
          <w:numId w:val="2"/>
        </w:numPr>
        <w:spacing w:after="40" w:before="40"/>
      </w:pPr>
      <w:r>
        <w:rPr>
          <w:rFonts w:ascii="Arial" w:cs="Arial" w:eastAsia="Arial" w:hAnsi="Arial"/>
          <w:sz w:val="20"/>
          <w:szCs w:val="20"/>
        </w:rPr>
        <w:t xml:space="preserve">Compliance Officer</w:t>
      </w:r>
    </w:p>
    <w:p>
      <w:pPr>
        <w:pStyle w:val="Heading2"/>
        <w:spacing w:after="80" w:before="200"/>
      </w:pPr>
      <w:r>
        <w:rPr>
          <w:rFonts w:ascii="Arial" w:cs="Arial" w:eastAsia="Arial" w:hAnsi="Arial"/>
          <w:b/>
          <w:bCs/>
          <w:color w:val="2E5FA3"/>
          <w:sz w:val="24"/>
          <w:szCs w:val="24"/>
        </w:rPr>
        <w:t xml:space="preserve">11.2 Non-Retaliation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single" w:color="2E5FA3" w:sz="16"/>
              <w:bottom w:val="single" w:color="2E5FA3" w:sz="6"/>
              <w:right w:val="single" w:color="CCCCCC" w:sz="1"/>
            </w:tcBorders>
            <w:shd w:fill="EDF4FC" w:val="clear"/>
            <w:tcMar>
              <w:top w:type="dxa" w:w="120"/>
              <w:left w:type="dxa" w:w="200"/>
              <w:bottom w:type="dxa" w:w="120"/>
              <w:right w:type="dxa" w:w="160"/>
            </w:tcMar>
          </w:tcPr>
          <w:p>
            <w:pPr>
              <w:spacing w:after="30" w:before="30"/>
            </w:pPr>
            <w:r>
              <w:rPr>
                <w:rFonts w:ascii="Arial" w:cs="Arial" w:eastAsia="Arial" w:hAnsi="Arial"/>
                <w:color w:val="2E5FA3"/>
                <w:sz w:val="20"/>
                <w:szCs w:val="20"/>
              </w:rPr>
              <w:t xml:space="preserve">The organisation strictly prohibits retaliation against anyone who reports a concern in good faith.</w:t>
            </w:r>
          </w:p>
          <w:p>
            <w:pPr>
              <w:spacing w:after="30" w:before="30"/>
            </w:pPr>
            <w:r>
              <w:rPr>
                <w:rFonts w:ascii="Arial" w:cs="Arial" w:eastAsia="Arial" w:hAnsi="Arial"/>
                <w:color w:val="2E5FA3"/>
                <w:sz w:val="20"/>
                <w:szCs w:val="20"/>
              </w:rPr>
              <w:t xml:space="preserve">Any act of retaliation will itself be treated as a serious violation of this policy.</w:t>
            </w:r>
          </w:p>
          <w:p>
            <w:pPr>
              <w:spacing w:after="30" w:before="30"/>
            </w:pPr>
            <w:r>
              <w:rPr>
                <w:rFonts w:ascii="Arial" w:cs="Arial" w:eastAsia="Arial" w:hAnsi="Arial"/>
                <w:color w:val="2E5FA3"/>
                <w:sz w:val="20"/>
                <w:szCs w:val="20"/>
              </w:rPr>
              <w:t xml:space="preserve">All reports are treated with the highest level of confidentiality possible.</w:t>
            </w:r>
          </w:p>
        </w:tc>
      </w:tr>
    </w:tbl>
    <w:p>
      <w:pPr>
        <w:spacing w:after="0" w:before="80"/>
      </w:pPr>
    </w:p>
    <w:p>
      <w:pPr>
        <w:pStyle w:val="Heading1"/>
        <w:pBdr>
          <w:bottom w:val="single" w:color="2E5FA3" w:sz="4" w:space="4"/>
        </w:pBdr>
        <w:spacing w:after="100" w:before="280"/>
      </w:pPr>
      <w:r>
        <w:rPr>
          <w:rFonts w:ascii="Arial" w:cs="Arial" w:eastAsia="Arial" w:hAnsi="Arial"/>
          <w:b/>
          <w:bCs/>
          <w:color w:val="1F3864"/>
          <w:sz w:val="30"/>
          <w:szCs w:val="30"/>
        </w:rPr>
        <w:t xml:space="preserve">12. Disciplinary Action</w:t>
      </w:r>
    </w:p>
    <w:p>
      <w:pPr>
        <w:spacing w:after="60" w:before="60"/>
      </w:pPr>
      <w:r>
        <w:rPr>
          <w:rFonts w:ascii="Arial" w:cs="Arial" w:eastAsia="Arial" w:hAnsi="Arial"/>
          <w:color w:val="000000"/>
          <w:sz w:val="20"/>
          <w:szCs w:val="20"/>
        </w:rPr>
        <w:t xml:space="preserve">Violations of this Code of Conduct will be investigated and may result in disciplinary action proportionate to the severity and circumstances of the breach.</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Severity Level</w:t>
            </w:r>
          </w:p>
        </w:tc>
        <w:tc>
          <w:tcPr>
            <w:tcW w:type="dxa" w:w="3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Examples</w:t>
            </w:r>
          </w:p>
        </w:tc>
        <w:tc>
          <w:tcPr>
            <w:tcW w:type="dxa" w:w="48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Possible Consequences</w:t>
            </w:r>
          </w:p>
        </w:tc>
      </w:tr>
      <w:tr>
        <w:tc>
          <w:tcPr>
            <w:tcW w:type="dxa" w:w="15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Minor</w:t>
            </w:r>
          </w:p>
        </w:tc>
        <w:tc>
          <w:tcPr>
            <w:tcW w:type="dxa" w:w="30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Tardiness, dress code, unintentional data handling error</w:t>
            </w:r>
          </w:p>
        </w:tc>
        <w:tc>
          <w:tcPr>
            <w:tcW w:type="dxa" w:w="48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Verbal or written warning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Moderate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Repeated minor violations, inappropriate communication, misuse of assets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Written warning, performance improvement plan</w:t>
            </w:r>
          </w:p>
        </w:tc>
      </w:tr>
      <w:tr>
        <w:tc>
          <w:tcPr>
            <w:tcW w:type="dxa" w:w="15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Serious</w:t>
            </w:r>
          </w:p>
        </w:tc>
        <w:tc>
          <w:tcPr>
            <w:tcW w:type="dxa" w:w="30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Bullying, deliberate data breach, conflict of interest</w:t>
            </w:r>
          </w:p>
        </w:tc>
        <w:tc>
          <w:tcPr>
            <w:tcW w:type="dxa" w:w="48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Final written warning, suspension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Severe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Fraud, harassment, violence, criminal conduct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Summary dismissal, legal action</w:t>
            </w:r>
          </w:p>
        </w:tc>
      </w:tr>
    </w:tbl>
    <w:p>
      <w:pPr>
        <w:spacing w:after="0" w:before="80"/>
      </w:pPr>
    </w:p>
    <w:p>
      <w:pPr>
        <w:spacing w:after="60" w:before="60"/>
      </w:pPr>
      <w:r>
        <w:rPr>
          <w:rFonts w:ascii="Arial" w:cs="Arial" w:eastAsia="Arial" w:hAnsi="Arial"/>
          <w:color w:val="000000"/>
          <w:sz w:val="20"/>
          <w:szCs w:val="20"/>
        </w:rPr>
        <w:t xml:space="preserve">All disciplinary proceedings will follow the Disciplinary Policy and ensure the employee's right to a fair hearing.</w:t>
      </w:r>
    </w:p>
    <w:p>
      <w:pPr>
        <w:spacing w:after="0" w:before="80"/>
      </w:pPr>
    </w:p>
    <w:p>
      <w:pPr>
        <w:pStyle w:val="Heading1"/>
        <w:pBdr>
          <w:bottom w:val="single" w:color="2E5FA3" w:sz="4" w:space="4"/>
        </w:pBdr>
        <w:spacing w:after="100" w:before="280"/>
      </w:pPr>
      <w:r>
        <w:rPr>
          <w:rFonts w:ascii="Arial" w:cs="Arial" w:eastAsia="Arial" w:hAnsi="Arial"/>
          <w:b/>
          <w:bCs/>
          <w:color w:val="1F3864"/>
          <w:sz w:val="30"/>
          <w:szCs w:val="30"/>
        </w:rPr>
        <w:t xml:space="preserve">13. Acknowledgement</w:t>
      </w:r>
    </w:p>
    <w:p>
      <w:pPr>
        <w:spacing w:after="60" w:before="60"/>
      </w:pPr>
      <w:r>
        <w:rPr>
          <w:rFonts w:ascii="Arial" w:cs="Arial" w:eastAsia="Arial" w:hAnsi="Arial"/>
          <w:color w:val="000000"/>
          <w:sz w:val="20"/>
          <w:szCs w:val="20"/>
        </w:rPr>
        <w:t xml:space="preserve">All employees are required to read, understand, and sign an acknowledgement of this policy on joining and upon each material revision. Signed acknowledgements are retained in the employee's personal HR file.</w:t>
      </w:r>
    </w:p>
    <w:p>
      <w:pPr>
        <w:spacing w:after="0" w:before="80"/>
      </w:pPr>
    </w:p>
    <w:p>
      <w:pPr>
        <w:pStyle w:val="Heading1"/>
        <w:pBdr>
          <w:bottom w:val="single" w:color="2E5FA3" w:sz="4" w:space="4"/>
        </w:pBdr>
        <w:spacing w:after="100" w:before="280"/>
      </w:pPr>
      <w:r>
        <w:rPr>
          <w:rFonts w:ascii="Arial" w:cs="Arial" w:eastAsia="Arial" w:hAnsi="Arial"/>
          <w:b/>
          <w:bCs/>
          <w:color w:val="1F3864"/>
          <w:sz w:val="30"/>
          <w:szCs w:val="30"/>
        </w:rPr>
        <w:t xml:space="preserve">14. Policy Review</w:t>
      </w:r>
    </w:p>
    <w:p>
      <w:pPr>
        <w:spacing w:after="60" w:before="60"/>
      </w:pPr>
      <w:r>
        <w:rPr>
          <w:rFonts w:ascii="Arial" w:cs="Arial" w:eastAsia="Arial" w:hAnsi="Arial"/>
          <w:color w:val="000000"/>
          <w:sz w:val="20"/>
          <w:szCs w:val="20"/>
        </w:rPr>
        <w:t xml:space="preserve">This policy is reviewed annually or following significant changes in law, regulation, or organisational values.</w:t>
      </w:r>
    </w:p>
    <w:p>
      <w:pPr>
        <w:spacing w:after="0" w:before="80"/>
      </w:pPr>
    </w:p>
    <w:p>
      <w:pPr>
        <w:pStyle w:val="Heading1"/>
        <w:pBdr>
          <w:bottom w:val="single" w:color="2E5FA3" w:sz="4" w:space="4"/>
        </w:pBdr>
        <w:spacing w:after="100" w:before="280"/>
      </w:pPr>
      <w:r>
        <w:rPr>
          <w:rFonts w:ascii="Arial" w:cs="Arial" w:eastAsia="Arial" w:hAnsi="Arial"/>
          <w:b/>
          <w:bCs/>
          <w:color w:val="1F3864"/>
          <w:sz w:val="30"/>
          <w:szCs w:val="30"/>
        </w:rPr>
        <w:t xml:space="preserve">15. Sign-Off &amp; Approval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Name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Designation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Signature</w:t>
            </w:r>
          </w:p>
        </w:tc>
        <w:tc>
          <w:tcPr>
            <w:tcW w:type="dxa" w:w="2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Date</w:t>
            </w:r>
          </w:p>
        </w:tc>
      </w:tr>
      <w:tr>
        <w:tc>
          <w:tcPr>
            <w:tcW w:type="dxa" w:w="25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
            </w:r>
          </w:p>
        </w:tc>
        <w:tc>
          <w:tcPr>
            <w:tcW w:type="dxa" w:w="25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HR Manager</w:t>
            </w:r>
          </w:p>
        </w:tc>
        <w:tc>
          <w:tcPr>
            <w:tcW w:type="dxa" w:w="20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
            </w:r>
          </w:p>
        </w:tc>
        <w:tc>
          <w:tcPr>
            <w:tcW w:type="dxa" w:w="23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Department Head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
            </w:r>
          </w:p>
        </w:tc>
      </w:tr>
      <w:tr>
        <w:tc>
          <w:tcPr>
            <w:tcW w:type="dxa" w:w="25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
            </w:r>
          </w:p>
        </w:tc>
        <w:tc>
          <w:tcPr>
            <w:tcW w:type="dxa" w:w="25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CEO / Director</w:t>
            </w:r>
          </w:p>
        </w:tc>
        <w:tc>
          <w:tcPr>
            <w:tcW w:type="dxa" w:w="20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
            </w:r>
          </w:p>
        </w:tc>
        <w:tc>
          <w:tcPr>
            <w:tcW w:type="dxa" w:w="23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
            </w:r>
          </w:p>
        </w:tc>
      </w:tr>
    </w:tbl>
    <w:sectPr>
      <w:pgSz w:w="12240" w:h="15840"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80" w:before="20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2026-05-27T07:20:44.010Z</dcterms:created>
  <dcterms:modified xsi:type="dcterms:W3CDTF">2026-05-27T07:20:44.011Z</dcterms:modified>
</cp:coreProperties>
</file>

<file path=docProps/custom.xml><?xml version="1.0" encoding="utf-8"?>
<Properties xmlns="http://schemas.openxmlformats.org/officeDocument/2006/custom-properties" xmlns:vt="http://schemas.openxmlformats.org/officeDocument/2006/docPropsVTypes"/>
</file>