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bCs/>
          <w:sz w:val="52"/>
          <w:szCs w:val="52"/>
        </w:rPr>
      </w:pPr>
      <w:r>
        <w:rPr>
          <w:rFonts w:hint="eastAsia" w:ascii="宋体" w:hAnsi="宋体" w:eastAsia="宋体"/>
          <w:b/>
          <w:bCs/>
          <w:sz w:val="52"/>
          <w:szCs w:val="52"/>
        </w:rPr>
        <w:t>云南省企业就业失业数据采集系统</w:t>
      </w: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  <w:t>人力资源计划</w:t>
      </w: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8"/>
          <w:rFonts w:cs="Arial"/>
          <w:color w:val="4D4D4D"/>
          <w:sz w:val="36"/>
          <w:szCs w:val="36"/>
        </w:rPr>
      </w:pPr>
      <w:r>
        <w:rPr>
          <w:rStyle w:val="8"/>
          <w:rFonts w:hint="eastAsia" w:cs="Arial"/>
          <w:color w:val="4D4D4D"/>
          <w:sz w:val="36"/>
          <w:szCs w:val="36"/>
          <w:lang w:val="en-US" w:eastAsia="zh-CN"/>
        </w:rPr>
        <w:t>启航</w:t>
      </w:r>
      <w:r>
        <w:rPr>
          <w:rStyle w:val="8"/>
          <w:rFonts w:hint="eastAsia" w:cs="Arial"/>
          <w:color w:val="4D4D4D"/>
          <w:sz w:val="36"/>
          <w:szCs w:val="36"/>
        </w:rPr>
        <w:t>软件开发公司</w:t>
      </w: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8"/>
          <w:rFonts w:hint="eastAsia" w:cs="Arial"/>
          <w:color w:val="4D4D4D"/>
          <w:sz w:val="36"/>
          <w:szCs w:val="36"/>
        </w:rPr>
      </w:pPr>
      <w:r>
        <w:rPr>
          <w:rStyle w:val="8"/>
          <w:rFonts w:hint="eastAsia" w:cs="Arial"/>
          <w:color w:val="4D4D4D"/>
          <w:sz w:val="36"/>
          <w:szCs w:val="36"/>
        </w:rPr>
        <w:t>202</w:t>
      </w:r>
      <w:r>
        <w:rPr>
          <w:rStyle w:val="8"/>
          <w:rFonts w:hint="eastAsia" w:cs="Arial"/>
          <w:color w:val="4D4D4D"/>
          <w:sz w:val="36"/>
          <w:szCs w:val="36"/>
          <w:lang w:val="en-US" w:eastAsia="zh-CN"/>
        </w:rPr>
        <w:t>4</w:t>
      </w:r>
      <w:r>
        <w:rPr>
          <w:rStyle w:val="8"/>
          <w:rFonts w:hint="eastAsia" w:cs="Arial"/>
          <w:color w:val="4D4D4D"/>
          <w:sz w:val="36"/>
          <w:szCs w:val="36"/>
        </w:rPr>
        <w:t>年3月</w:t>
      </w: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8"/>
          <w:rFonts w:hint="eastAsia" w:cs="Arial"/>
          <w:color w:val="4D4D4D"/>
          <w:sz w:val="36"/>
          <w:szCs w:val="36"/>
        </w:rPr>
      </w:pP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8"/>
          <w:rFonts w:hint="eastAsia" w:eastAsia="宋体" w:cs="Arial"/>
          <w:color w:val="4D4D4D"/>
          <w:sz w:val="36"/>
          <w:szCs w:val="36"/>
          <w:lang w:val="en-US" w:eastAsia="zh-CN"/>
        </w:rPr>
      </w:pPr>
      <w:r>
        <w:rPr>
          <w:rStyle w:val="8"/>
          <w:rFonts w:hint="eastAsia" w:cs="Arial"/>
          <w:color w:val="4D4D4D"/>
          <w:sz w:val="36"/>
          <w:szCs w:val="36"/>
        </w:rPr>
        <w:t>编写人：</w:t>
      </w:r>
      <w:r>
        <w:rPr>
          <w:rStyle w:val="8"/>
          <w:rFonts w:hint="eastAsia" w:cs="Arial"/>
          <w:color w:val="4D4D4D"/>
          <w:sz w:val="36"/>
          <w:szCs w:val="36"/>
          <w:lang w:val="en-US" w:eastAsia="zh-CN"/>
        </w:rPr>
        <w:t>龙凯锋</w:t>
      </w: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8"/>
          <w:rFonts w:hint="eastAsia" w:cs="Arial"/>
          <w:color w:val="4D4D4D"/>
          <w:sz w:val="36"/>
          <w:szCs w:val="36"/>
          <w:lang w:val="en-US" w:eastAsia="zh-CN"/>
        </w:rPr>
      </w:pPr>
      <w:r>
        <w:rPr>
          <w:rStyle w:val="8"/>
          <w:rFonts w:hint="eastAsia" w:cs="Arial"/>
          <w:color w:val="4D4D4D"/>
          <w:sz w:val="36"/>
          <w:szCs w:val="36"/>
        </w:rPr>
        <w:t>审核人：</w:t>
      </w:r>
      <w:r>
        <w:rPr>
          <w:rStyle w:val="8"/>
          <w:rFonts w:hint="eastAsia" w:cs="Arial"/>
          <w:color w:val="4D4D4D"/>
          <w:sz w:val="36"/>
          <w:szCs w:val="36"/>
          <w:lang w:val="en-US" w:eastAsia="zh-CN"/>
        </w:rPr>
        <w:t>龙凯锋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角色和职责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姓名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技术水平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角色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工作描述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hint="eastAsia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龙凯锋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对项目熟知掌握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项目总经理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统筹系统的开发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hint="eastAsia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梁宇豪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有较高编程能力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技术主管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统筹编码开发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杨宗韬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有较高编程能力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程序员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编写服务端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张喆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有较高编程能力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程序员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编写客户端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谭金林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有较高编程能力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程序员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编写客户端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刘钰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有较高编程能力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程序员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功能整合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hint="eastAsia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lang w:val="en-US" w:eastAsia="zh-CN"/>
              </w:rPr>
              <w:t>陈玺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有较高测试能力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hint="eastAsia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</w:rPr>
              <w:t>测试</w:t>
            </w:r>
            <w:r>
              <w:rPr>
                <w:rFonts w:hint="eastAsia" w:cs="Arial"/>
                <w:sz w:val="21"/>
                <w:szCs w:val="21"/>
                <w:lang w:val="en-US" w:eastAsia="zh-CN"/>
              </w:rPr>
              <w:t>主管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统筹</w:t>
            </w:r>
            <w:r>
              <w:rPr>
                <w:rFonts w:hint="eastAsia" w:cs="Arial"/>
                <w:sz w:val="21"/>
                <w:szCs w:val="21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钟锦正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有较高测试能力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测试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软件</w:t>
            </w:r>
            <w:r>
              <w:rPr>
                <w:rFonts w:hint="eastAsia" w:cs="Arial"/>
                <w:sz w:val="21"/>
                <w:szCs w:val="21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庄子岳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较强的理解需求能力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需求分析工程师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获取用户需求以及需求变更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周志龙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有较高的艺术设计水平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hint="eastAsia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设计主管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设计ui界面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吴威廉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hint="eastAsia"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有较高的艺术设计水平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hint="eastAsia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设计师</w:t>
            </w:r>
          </w:p>
        </w:tc>
        <w:tc>
          <w:tcPr>
            <w:tcW w:w="2074" w:type="dxa"/>
          </w:tcPr>
          <w:p>
            <w:pPr>
              <w:pStyle w:val="4"/>
              <w:spacing w:before="0" w:beforeAutospacing="0" w:after="0" w:afterAutospacing="0" w:line="240" w:lineRule="auto"/>
              <w:rPr>
                <w:rFonts w:hint="eastAsia"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设计ui界面</w:t>
            </w:r>
          </w:p>
        </w:tc>
      </w:tr>
    </w:tbl>
    <w:p/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项目组织图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71645" cy="3520440"/>
            <wp:effectExtent l="0" t="0" r="146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人员配备管理计划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人员获取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启航软件开发公司团队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时间表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29965" cy="3401060"/>
            <wp:effectExtent l="0" t="0" r="1333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numId w:val="0"/>
        </w:numPr>
        <w:ind w:leftChars="0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3.3认可与奖励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05" w:afterAutospacing="0" w:line="22" w:lineRule="atLeast"/>
        <w:ind w:left="720" w:hanging="360"/>
        <w:jc w:val="left"/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 xml:space="preserve"> </w:t>
      </w:r>
      <w:r>
        <w:rPr>
          <w:rFonts w:ascii="微软雅黑" w:hAnsi="微软雅黑" w:eastAsia="微软雅黑" w:cs="微软雅黑"/>
          <w:i w:val="0"/>
          <w:iCs w:val="0"/>
          <w:caps w:val="0"/>
          <w:color w:val="262626"/>
          <w:spacing w:val="0"/>
          <w:sz w:val="22"/>
          <w:szCs w:val="22"/>
          <w:bdr w:val="none" w:color="auto" w:sz="0" w:space="0"/>
          <w:shd w:val="clear" w:fill="FFFFFF"/>
        </w:rPr>
        <w:t>设立明确的绩效评估指标和考核体系，定期对团队成员进行绩效评估。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05" w:afterAutospacing="0" w:line="22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22"/>
          <w:szCs w:val="22"/>
          <w:bdr w:val="none" w:color="auto" w:sz="0" w:space="0"/>
          <w:shd w:val="clear" w:fill="FFFFFF"/>
        </w:rPr>
        <w:t>根据绩效评估结果，给予团队成员相应的奖励或处罚。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3.4 风险和变更管理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05" w:afterAutospacing="0" w:line="22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22"/>
          <w:szCs w:val="22"/>
          <w:bdr w:val="none" w:color="auto" w:sz="0" w:space="0"/>
          <w:shd w:val="clear" w:fill="FFFFFF"/>
        </w:rPr>
        <w:t>针对人员变动、离职等风险，制定相应的风险应对措施，确保项目不受影响。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05" w:afterAutospacing="0" w:line="22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22"/>
          <w:szCs w:val="22"/>
          <w:bdr w:val="none" w:color="auto" w:sz="0" w:space="0"/>
          <w:shd w:val="clear" w:fill="FFFFFF"/>
        </w:rPr>
        <w:t>对项目变更请求进行评估和管理，确保人员配置的变动符合项目的整体目标。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3.5人员培训和发展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05" w:afterAutospacing="0" w:line="22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22"/>
          <w:szCs w:val="22"/>
          <w:bdr w:val="none" w:color="auto" w:sz="0" w:space="0"/>
          <w:shd w:val="clear" w:fill="FFFFFF"/>
        </w:rPr>
        <w:t>评估项目团队成员的技能和知识水平，确定培训和发展计划，提升团队的综合能力。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05" w:afterAutospacing="0" w:line="22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22"/>
          <w:szCs w:val="22"/>
          <w:bdr w:val="none" w:color="auto" w:sz="0" w:space="0"/>
          <w:shd w:val="clear" w:fill="FFFFFF"/>
        </w:rPr>
        <w:t>安排相关培训课程或研讨会，提供培训资料和学习资源。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262626"/>
          <w:spacing w:val="0"/>
          <w:sz w:val="22"/>
          <w:szCs w:val="22"/>
          <w:lang w:val="en-US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3.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6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人员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配置和管理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05" w:afterAutospacing="0" w:line="22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22"/>
          <w:szCs w:val="22"/>
          <w:bdr w:val="none" w:color="auto" w:sz="0" w:space="0"/>
          <w:shd w:val="clear" w:fill="FFFFFF"/>
        </w:rPr>
        <w:t>制定人员工作分配计划，明确每个人员的工作职责和任务目标。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05" w:afterAutospacing="0" w:line="22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22"/>
          <w:szCs w:val="22"/>
          <w:bdr w:val="none" w:color="auto" w:sz="0" w:space="0"/>
          <w:shd w:val="clear" w:fill="FFFFFF"/>
        </w:rPr>
        <w:t>制定人员考勤和工作时间安排，确保团队成员的工作效率和工作质量。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05" w:afterAutospacing="0" w:line="22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22"/>
          <w:szCs w:val="22"/>
          <w:bdr w:val="none" w:color="auto" w:sz="0" w:space="0"/>
          <w:shd w:val="clear" w:fill="FFFFFF"/>
        </w:rPr>
        <w:t>建立有效的沟通机制和团队协作平台，促进团队成员之间的信息共享和合作。</w:t>
      </w:r>
    </w:p>
    <w:p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瀹嬩綋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FDDEB9"/>
    <w:multiLevelType w:val="multilevel"/>
    <w:tmpl w:val="EAFDDE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F6FAF23"/>
    <w:multiLevelType w:val="multilevel"/>
    <w:tmpl w:val="EF6FAF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CB96E5A"/>
    <w:multiLevelType w:val="multilevel"/>
    <w:tmpl w:val="1CB96E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3FA60F5"/>
    <w:multiLevelType w:val="multilevel"/>
    <w:tmpl w:val="23FA60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7E1701"/>
    <w:multiLevelType w:val="multilevel"/>
    <w:tmpl w:val="5A7E170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2OTY4N2YxYThhYTk0ZDRlN2ViYzE0NGQyNjNkODUifQ=="/>
  </w:docVars>
  <w:rsids>
    <w:rsidRoot w:val="00000000"/>
    <w:rsid w:val="72E8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 w:line="24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2024-04-16T15:05:21Z</dcterms:created>
  <dc:creator>27907</dc:creator>
  <cp:lastModifiedBy>清凉油的夏天</cp:lastModifiedBy>
  <dcterms:modified xsi:type="dcterms:W3CDTF">2024-04-16T15:26:37Z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2058837DA09D4458B91F3D89C299F9A7_12</vt:lpwstr>
  </property>
</Properties>
</file>