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9923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09"/>
        <w:gridCol w:w="3413"/>
      </w:tblGrid>
      <w:tr>
        <w:trPr/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Roboto" w:hAnsi="Roboto" w:cs="Calibri"/>
                <w:bCs/>
                <w:sz w:val="14"/>
                <w:szCs w:val="14"/>
                <w:lang w:val="ru-RU" w:bidi="ar-SA"/>
              </w:rPr>
            </w:pPr>
            <w:r>
              <w:rPr>
                <w:rFonts w:cs="Calibri" w:ascii="Roboto" w:hAnsi="Roboto" w:cstheme="minorHAnsi"/>
                <w:bCs/>
                <w:sz w:val="14"/>
                <w:szCs w:val="14"/>
                <w:lang w:val="ru-RU" w:bidi="ar-SA"/>
              </w:rPr>
              <w:t>Государственное бюджетное учреждение здравоохранения Пермского края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Strong"/>
                <w:rFonts w:cs="Calibri" w:ascii="Roboto" w:hAnsi="Roboto" w:cstheme="minorHAnsi"/>
                <w:b w:val="false"/>
                <w:sz w:val="14"/>
                <w:szCs w:val="14"/>
                <w:lang w:val="ru-RU" w:bidi="ar-SA"/>
              </w:rPr>
              <w:t>«Городская Клиническая Больница имени Симхи Нафтолиевича Гринберга»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Strong"/>
                <w:rFonts w:cs="Calibri" w:ascii="Roboto" w:hAnsi="Roboto" w:cstheme="minorHAnsi"/>
                <w:b w:val="false"/>
                <w:sz w:val="14"/>
                <w:szCs w:val="14"/>
                <w:lang w:val="ru-RU" w:bidi="ar-SA"/>
              </w:rPr>
              <w:t>Отделение медицинской реабилитации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rPr>
                <w:rFonts w:ascii="Roboto" w:hAnsi="Roboto" w:cs="Calibri"/>
                <w:bCs/>
                <w:sz w:val="14"/>
                <w:szCs w:val="14"/>
                <w:lang w:val="ru-RU" w:bidi="ar-SA"/>
              </w:rPr>
            </w:pPr>
            <w:r>
              <w:rPr>
                <w:rFonts w:cs="Calibri" w:ascii="Roboto" w:hAnsi="Roboto" w:cstheme="minorHAnsi"/>
                <w:bCs/>
                <w:sz w:val="14"/>
                <w:szCs w:val="14"/>
                <w:lang w:val="ru-RU" w:bidi="ar-SA"/>
              </w:rPr>
              <w:t>г.Пермь, Индекс 614034, ул.Генерала Панфилова, 20</w:t>
            </w:r>
          </w:p>
          <w:p>
            <w:pPr>
              <w:pStyle w:val="Textbody"/>
              <w:widowControl w:val="false"/>
              <w:suppressAutoHyphens w:val="true"/>
              <w:spacing w:before="0" w:after="0"/>
              <w:rPr>
                <w:rFonts w:ascii="Roboto" w:hAnsi="Roboto" w:cs="Calibri"/>
                <w:sz w:val="14"/>
                <w:szCs w:val="14"/>
                <w:lang w:val="ru-RU" w:bidi="ar-SA"/>
              </w:rPr>
            </w:pPr>
            <w:r>
              <w:rPr>
                <w:rFonts w:cs="Calibri" w:ascii="Roboto" w:hAnsi="Roboto" w:cstheme="minorHAnsi"/>
                <w:bCs/>
                <w:sz w:val="14"/>
                <w:szCs w:val="14"/>
                <w:lang w:val="ru-RU" w:bidi="ar-SA"/>
              </w:rPr>
              <w:t xml:space="preserve">тел. </w:t>
            </w:r>
            <w:r>
              <w:rPr>
                <w:rFonts w:cs="Calibri" w:ascii="Roboto" w:hAnsi="Roboto" w:cstheme="minorHAnsi"/>
                <w:sz w:val="14"/>
                <w:szCs w:val="14"/>
                <w:lang w:val="ru-RU" w:bidi="ar-SA"/>
              </w:rPr>
              <w:t>(342) 251-80-41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Roboto" w:hAnsi="Roboto" w:cs="Calibri"/>
                <w:bCs/>
                <w:sz w:val="16"/>
                <w:szCs w:val="16"/>
                <w:lang w:val="ru-RU" w:bidi="ar-SA"/>
              </w:rPr>
            </w:pPr>
            <w:r>
              <w:rPr>
                <w:rFonts w:cs="Calibri" w:ascii="Roboto" w:hAnsi="Roboto" w:cstheme="minorHAnsi"/>
                <w:bCs/>
                <w:sz w:val="16"/>
                <w:szCs w:val="16"/>
                <w:lang w:val="ru-RU" w:bidi="ar-SA"/>
              </w:rPr>
              <w:t>Палата № {{ палата }}</w:t>
            </w:r>
          </w:p>
        </w:tc>
      </w:tr>
    </w:tbl>
    <w:p>
      <w:pPr>
        <w:pStyle w:val="Textbody"/>
        <w:jc w:val="center"/>
        <w:rPr>
          <w:rFonts w:ascii="Roboto" w:hAnsi="Roboto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>ВЫПИСНОЙ ЭПИКРИЗ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Calibri" w:ascii="Roboto" w:hAnsi="Roboto" w:cstheme="minorHAnsi"/>
          <w:sz w:val="16"/>
          <w:szCs w:val="16"/>
        </w:rPr>
        <w:t>История болезни № {{ номер_истории }}</w:t>
      </w:r>
    </w:p>
    <w:p>
      <w:pPr>
        <w:pStyle w:val="Textbody"/>
        <w:spacing w:before="0" w:after="112"/>
        <w:jc w:val="center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Ознакомьтесь и передайте копию этого документа своему участковому врачу/фельдшеру.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Calibri" w:ascii="Roboto" w:hAnsi="Roboto" w:cstheme="minorHAnsi"/>
          <w:sz w:val="16"/>
          <w:szCs w:val="16"/>
        </w:rPr>
        <w:t xml:space="preserve">Пациент </w:t>
      </w:r>
      <w:r>
        <w:rPr>
          <w:rFonts w:cs="Calibri" w:ascii="Roboto" w:hAnsi="Roboto" w:cstheme="minorHAnsi"/>
          <w:b/>
          <w:sz w:val="16"/>
          <w:szCs w:val="16"/>
        </w:rPr>
        <w:t>{{ ФИО_пациента }}, {{ дата_рождения }}г.р.</w:t>
      </w:r>
      <w:r>
        <w:rPr>
          <w:rFonts w:cs="Calibri" w:ascii="Roboto" w:hAnsi="Roboto" w:cstheme="minorHAnsi"/>
          <w:sz w:val="16"/>
          <w:szCs w:val="16"/>
        </w:rPr>
        <w:t xml:space="preserve">, проживающий по адресу: {{ адрес }}, находился на стационарном лечении в отделении медицинской реабилитации ГБУЗ ПК ГКБ им.С.Н.Гринберга с {{ дата_поступления }} по </w:t>
      </w:r>
      <w:bookmarkStart w:id="0" w:name="_Hlk86253963"/>
      <w:r>
        <w:rPr>
          <w:rFonts w:cs="Calibri" w:ascii="Roboto" w:hAnsi="Roboto" w:cstheme="minorHAnsi"/>
          <w:sz w:val="16"/>
          <w:szCs w:val="16"/>
        </w:rPr>
        <w:t>{{ дата_выписки }}</w:t>
      </w:r>
      <w:bookmarkEnd w:id="0"/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ДИАГНОЗ ПРИ ВЫПИСКЕ:</w:t>
      </w:r>
    </w:p>
    <w:p>
      <w:pPr>
        <w:pStyle w:val="Textbody"/>
        <w:ind w:left="283" w:hanging="283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Основной: </w:t>
      </w:r>
      <w:r>
        <w:rPr>
          <w:rFonts w:cs="Calibri" w:ascii="Roboto" w:hAnsi="Roboto" w:cstheme="minorHAnsi"/>
          <w:sz w:val="16"/>
          <w:szCs w:val="16"/>
        </w:rPr>
        <w:t>{{ Основной_диагноз_вып }}</w:t>
      </w:r>
    </w:p>
    <w:p>
      <w:pPr>
        <w:pStyle w:val="Textbody"/>
        <w:ind w:left="283" w:hanging="283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Сопутствующий: </w:t>
      </w:r>
      <w:r>
        <w:rPr>
          <w:rFonts w:cs="Calibri" w:ascii="Roboto" w:hAnsi="Roboto" w:cstheme="minorHAnsi"/>
          <w:sz w:val="16"/>
          <w:szCs w:val="16"/>
        </w:rPr>
        <w:t>{{ Сопутствующий_диагноз_вып }}</w:t>
      </w:r>
      <w:bookmarkStart w:id="1" w:name="_Hlk22671924"/>
    </w:p>
    <w:p>
      <w:pPr>
        <w:pStyle w:val="Normal"/>
        <w:ind w:left="283" w:hanging="283"/>
        <w:rPr>
          <w:rFonts w:ascii="Roboto" w:hAnsi="Roboto"/>
        </w:rPr>
      </w:pPr>
      <w:r>
        <w:rPr>
          <w:rFonts w:cs="Calibri" w:ascii="Roboto" w:hAnsi="Roboto" w:cstheme="minorHAnsi"/>
          <w:b/>
          <w:sz w:val="14"/>
          <w:szCs w:val="14"/>
        </w:rPr>
        <w:t xml:space="preserve">Функциональные шкалы: </w:t>
      </w:r>
      <w:r>
        <w:rPr>
          <w:rFonts w:cs="Calibri" w:ascii="Roboto" w:hAnsi="Roboto" w:cstheme="minorHAnsi"/>
          <w:sz w:val="14"/>
          <w:szCs w:val="14"/>
        </w:rPr>
        <w:t>{{ Шкалы_вып }}</w:t>
      </w:r>
    </w:p>
    <w:p>
      <w:pPr>
        <w:pStyle w:val="Normal"/>
        <w:ind w:left="283" w:hanging="283"/>
        <w:rPr>
          <w:rFonts w:ascii="Roboto" w:hAnsi="Roboto"/>
        </w:rPr>
      </w:pPr>
      <w:r>
        <w:rPr>
          <w:rFonts w:cs="Calibri" w:ascii="Roboto" w:hAnsi="Roboto" w:cstheme="minorHAnsi"/>
          <w:b/>
          <w:sz w:val="14"/>
          <w:szCs w:val="14"/>
        </w:rPr>
        <w:t>Реабилитационный диагноз по МКФ:</w:t>
        <w:br/>
      </w:r>
      <w:r>
        <w:rPr>
          <w:rFonts w:cs="Calibri" w:ascii="Roboto" w:hAnsi="Roboto" w:cstheme="minorHAnsi"/>
          <w:sz w:val="14"/>
          <w:szCs w:val="14"/>
        </w:rPr>
        <w:t>{{ МКФ_сумм_вып }}</w:t>
      </w:r>
    </w:p>
    <w:p>
      <w:pPr>
        <w:pStyle w:val="Normal"/>
        <w:rPr>
          <w:rFonts w:ascii="Roboto" w:hAnsi="Roboto" w:cs="Calibri" w:cstheme="minorHAnsi"/>
          <w:sz w:val="18"/>
          <w:szCs w:val="18"/>
        </w:rPr>
      </w:pPr>
      <w:r>
        <w:rPr>
          <w:rFonts w:cs="Calibri" w:cstheme="minorHAnsi" w:ascii="Roboto" w:hAnsi="Roboto"/>
          <w:sz w:val="18"/>
          <w:szCs w:val="18"/>
        </w:rPr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ПРОВЕДЕННОЕ ЛЕЧЕНИЕ:</w:t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1. Медикаментозное лечение:</w:t>
      </w:r>
    </w:p>
    <w:p>
      <w:pPr>
        <w:pStyle w:val="Textbody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Инъекции: </w:t>
      </w:r>
      <w:bookmarkStart w:id="2" w:name="_Hlk520245799"/>
      <w:r>
        <w:rPr>
          <w:rFonts w:cs="Calibri" w:ascii="Roboto" w:hAnsi="Roboto" w:cstheme="minorHAnsi"/>
          <w:sz w:val="16"/>
          <w:szCs w:val="16"/>
        </w:rPr>
        <w:t>{{ лечение_инъекции }}</w:t>
      </w:r>
    </w:p>
    <w:p>
      <w:pPr>
        <w:pStyle w:val="Textbody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Таблетированные формы:</w:t>
      </w:r>
      <w:r>
        <w:rPr>
          <w:rFonts w:cs="Calibri" w:ascii="Roboto" w:hAnsi="Roboto" w:cstheme="minorHAnsi"/>
          <w:sz w:val="16"/>
          <w:szCs w:val="16"/>
        </w:rPr>
        <w:t xml:space="preserve"> {{ </w:t>
      </w:r>
      <w:bookmarkEnd w:id="2"/>
      <w:r>
        <w:rPr>
          <w:rFonts w:cs="Calibri" w:ascii="Roboto" w:hAnsi="Roboto" w:cstheme="minorHAnsi"/>
          <w:sz w:val="16"/>
          <w:szCs w:val="16"/>
        </w:rPr>
        <w:t>лечение_таблетки }}</w:t>
      </w:r>
    </w:p>
    <w:p>
      <w:pPr>
        <w:pStyle w:val="Textbody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2.Физиотерапевтическое лечение:</w:t>
      </w:r>
      <w:r>
        <w:rPr>
          <w:rFonts w:cs="Calibri" w:ascii="Roboto" w:hAnsi="Roboto" w:cstheme="minorHAnsi"/>
          <w:sz w:val="16"/>
          <w:szCs w:val="16"/>
        </w:rPr>
        <w:t xml:space="preserve"> {{ физиотерапия }}</w:t>
      </w:r>
    </w:p>
    <w:p>
      <w:pPr>
        <w:pStyle w:val="Textbody"/>
        <w:jc w:val="left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3.ЛФК:</w:t>
      </w:r>
      <w:r>
        <w:rPr>
          <w:rFonts w:cs="Calibri" w:ascii="Roboto" w:hAnsi="Roboto" w:cstheme="minorHAnsi"/>
          <w:sz w:val="16"/>
          <w:szCs w:val="16"/>
        </w:rPr>
        <w:t xml:space="preserve"> {{ лфк }}</w:t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 xml:space="preserve">4.Логопедия: </w:t>
      </w:r>
      <w:r>
        <w:rPr>
          <w:rFonts w:cs="Calibri" w:ascii="Roboto" w:hAnsi="Roboto" w:cstheme="minorHAnsi"/>
          <w:sz w:val="16"/>
          <w:szCs w:val="16"/>
        </w:rPr>
        <w:t>консультирование, ежедневные индивидуальные занятия.</w:t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 xml:space="preserve">5.Нейропсихологическая реабилитация: </w:t>
      </w:r>
      <w:r>
        <w:rPr>
          <w:rFonts w:cs="Calibri" w:ascii="Roboto" w:hAnsi="Roboto" w:cstheme="minorHAnsi"/>
          <w:sz w:val="16"/>
          <w:szCs w:val="16"/>
        </w:rPr>
        <w:t>консультирование, индивидуальные занятия, групповой когнитивный тренинг.</w:t>
      </w:r>
    </w:p>
    <w:p>
      <w:pPr>
        <w:pStyle w:val="Textbody"/>
        <w:rPr>
          <w:rFonts w:ascii="Roboto" w:hAnsi="Roboto" w:cs="Calibri" w:cstheme="minorHAnsi"/>
          <w:b/>
          <w:b/>
          <w:bCs/>
          <w:sz w:val="16"/>
          <w:szCs w:val="16"/>
        </w:rPr>
      </w:pPr>
      <w:r>
        <w:rPr>
          <w:rFonts w:cs="Calibri" w:cstheme="minorHAnsi" w:ascii="Roboto" w:hAnsi="Roboto"/>
          <w:b/>
          <w:bCs/>
          <w:sz w:val="16"/>
          <w:szCs w:val="16"/>
        </w:rPr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ЛАБОРАТОРНЫЕ АНАЛИЗЫ:</w:t>
      </w:r>
    </w:p>
    <w:p>
      <w:pPr>
        <w:pStyle w:val="Textbody"/>
        <w:jc w:val="left"/>
        <w:rPr>
          <w:rFonts w:ascii="Roboto" w:hAnsi="Roboto"/>
        </w:rPr>
      </w:pPr>
      <w:r>
        <w:rPr>
          <w:rFonts w:cs="Calibri" w:ascii="Roboto" w:hAnsi="Roboto" w:cstheme="minorHAnsi"/>
          <w:sz w:val="16"/>
          <w:szCs w:val="16"/>
        </w:rPr>
        <w:t>{{ лабораторные_данные }}</w:t>
      </w:r>
    </w:p>
    <w:p>
      <w:pPr>
        <w:pStyle w:val="Textbody"/>
        <w:jc w:val="left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КОНСУЛЬТАЦИИ:</w:t>
      </w:r>
    </w:p>
    <w:p>
      <w:pPr>
        <w:pStyle w:val="Textbody"/>
        <w:widowControl/>
        <w:suppressAutoHyphens w:val="true"/>
        <w:bidi w:val="0"/>
        <w:spacing w:before="0" w:after="0"/>
        <w:ind w:left="850" w:right="0" w:hanging="850"/>
        <w:jc w:val="left"/>
        <w:textAlignment w:val="baseline"/>
        <w:rPr>
          <w:rFonts w:ascii="Roboto" w:hAnsi="Roboto"/>
          <w:b/>
          <w:b/>
          <w:bCs/>
          <w:lang w:val="ru-RU"/>
        </w:rPr>
      </w:pPr>
      <w:bookmarkStart w:id="3" w:name="_Hlk5300135191"/>
      <w:bookmarkEnd w:id="3"/>
      <w:r>
        <w:rPr>
          <w:rFonts w:cs="Calibri" w:ascii="Roboto" w:hAnsi="Roboto" w:cstheme="minorHAnsi"/>
          <w:b/>
          <w:bCs/>
          <w:sz w:val="16"/>
          <w:szCs w:val="16"/>
          <w:lang w:val="ru-RU"/>
        </w:rPr>
        <w:t xml:space="preserve">Заключение клинического психолога: </w:t>
      </w:r>
      <w:r>
        <w:rPr>
          <w:rFonts w:cs="Calibri" w:ascii="Roboto" w:hAnsi="Roboto" w:cstheme="minorHAnsi"/>
          <w:b w:val="false"/>
          <w:bCs w:val="false"/>
          <w:sz w:val="16"/>
          <w:szCs w:val="16"/>
          <w:lang w:val="en-US"/>
        </w:rPr>
        <w:t>{{ закл_психолога }}</w:t>
      </w:r>
    </w:p>
    <w:p>
      <w:pPr>
        <w:pStyle w:val="Textbody"/>
        <w:widowControl/>
        <w:tabs>
          <w:tab w:val="clear" w:pos="708"/>
          <w:tab w:val="left" w:pos="2273" w:leader="none"/>
        </w:tabs>
        <w:suppressAutoHyphens w:val="true"/>
        <w:bidi w:val="0"/>
        <w:spacing w:before="0" w:after="0"/>
        <w:ind w:left="850" w:right="0" w:hanging="0"/>
        <w:jc w:val="left"/>
        <w:textAlignment w:val="baseline"/>
        <w:rPr>
          <w:rFonts w:ascii="Roboto" w:hAnsi="Roboto"/>
          <w:b/>
          <w:b/>
          <w:bCs/>
          <w:lang w:val="ru-RU"/>
        </w:rPr>
      </w:pPr>
      <w:r>
        <w:rPr>
          <w:rFonts w:cs="Calibri" w:ascii="Roboto" w:hAnsi="Roboto" w:cstheme="minorHAnsi"/>
          <w:b w:val="false"/>
          <w:bCs w:val="false"/>
          <w:sz w:val="16"/>
          <w:szCs w:val="16"/>
          <w:lang w:val="en-US"/>
        </w:rPr>
        <w:t>MoCA: {{ MoCA }}</w:t>
        <w:tab/>
        <w:t>HADS: {{ HADS }}</w:t>
      </w:r>
    </w:p>
    <w:p>
      <w:pPr>
        <w:pStyle w:val="Textbody"/>
        <w:widowControl/>
        <w:suppressAutoHyphens w:val="true"/>
        <w:bidi w:val="0"/>
        <w:spacing w:before="0" w:after="0"/>
        <w:ind w:left="850" w:right="0" w:hanging="850"/>
        <w:jc w:val="left"/>
        <w:textAlignment w:val="baseline"/>
        <w:rPr>
          <w:rFonts w:ascii="Roboto" w:hAnsi="Roboto"/>
          <w:b/>
          <w:b/>
          <w:bCs/>
          <w:lang w:val="ru-RU"/>
        </w:rPr>
      </w:pPr>
      <w:bookmarkStart w:id="4" w:name="_Hlk53001351911"/>
      <w:bookmarkEnd w:id="4"/>
      <w:r>
        <w:rPr>
          <w:rFonts w:cs="Calibri" w:ascii="Roboto" w:hAnsi="Roboto" w:cstheme="minorHAnsi"/>
          <w:b/>
          <w:bCs/>
          <w:sz w:val="16"/>
          <w:szCs w:val="16"/>
          <w:lang w:val="ru-RU"/>
        </w:rPr>
        <w:t xml:space="preserve">Заключение логопеда-афазиолога: </w:t>
      </w:r>
      <w:r>
        <w:rPr>
          <w:rFonts w:cs="Calibri" w:ascii="Roboto" w:hAnsi="Roboto" w:cstheme="minorHAnsi"/>
          <w:b w:val="false"/>
          <w:bCs w:val="false"/>
          <w:sz w:val="16"/>
          <w:szCs w:val="16"/>
          <w:lang w:val="en-US"/>
        </w:rPr>
        <w:t>{{ закл_</w:t>
      </w:r>
      <w:r>
        <w:rPr>
          <w:rFonts w:cs="Calibri" w:ascii="Roboto" w:hAnsi="Roboto" w:cstheme="minorHAnsi"/>
          <w:b w:val="false"/>
          <w:bCs w:val="false"/>
          <w:sz w:val="16"/>
          <w:szCs w:val="16"/>
          <w:lang w:val="ru-RU"/>
        </w:rPr>
        <w:t>логопеда</w:t>
      </w:r>
      <w:r>
        <w:rPr>
          <w:rFonts w:cs="Calibri" w:ascii="Roboto" w:hAnsi="Roboto" w:cstheme="minorHAnsi"/>
          <w:b w:val="false"/>
          <w:bCs w:val="false"/>
          <w:sz w:val="16"/>
          <w:szCs w:val="16"/>
          <w:lang w:val="en-US"/>
        </w:rPr>
        <w:t xml:space="preserve"> }}</w:t>
      </w:r>
    </w:p>
    <w:p>
      <w:pPr>
        <w:pStyle w:val="Textbody"/>
        <w:widowControl/>
        <w:suppressAutoHyphens w:val="true"/>
        <w:bidi w:val="0"/>
        <w:spacing w:before="0" w:after="0"/>
        <w:ind w:left="0" w:right="0" w:hanging="0"/>
        <w:jc w:val="left"/>
        <w:textAlignment w:val="baseline"/>
        <w:rPr>
          <w:rFonts w:cs="Calibri" w:cstheme="minorHAnsi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alibri" w:cstheme="minorHAnsi"/>
          <w:b w:val="false"/>
          <w:bCs w:val="false"/>
          <w:sz w:val="16"/>
          <w:szCs w:val="16"/>
          <w:lang w:val="en-US"/>
        </w:rPr>
      </w:r>
    </w:p>
    <w:p>
      <w:pPr>
        <w:pStyle w:val="Textbody"/>
        <w:widowControl/>
        <w:suppressAutoHyphens w:val="true"/>
        <w:bidi w:val="0"/>
        <w:spacing w:before="0" w:after="0"/>
        <w:ind w:left="0" w:right="0" w:hanging="0"/>
        <w:jc w:val="left"/>
        <w:textAlignment w:val="baseline"/>
        <w:rPr>
          <w:rFonts w:cs="Calibri" w:cstheme="minorHAnsi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alibri" w:cstheme="minorHAnsi"/>
          <w:b w:val="false"/>
          <w:bCs w:val="false"/>
          <w:sz w:val="16"/>
          <w:szCs w:val="16"/>
          <w:lang w:val="en-US"/>
        </w:rPr>
      </w:r>
    </w:p>
    <w:p>
      <w:pPr>
        <w:pStyle w:val="Textbody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Результаты лечения: </w:t>
      </w:r>
      <w:r>
        <w:rPr>
          <w:rFonts w:cs="Calibri" w:ascii="Roboto" w:hAnsi="Roboto" w:cstheme="minorHAnsi"/>
          <w:sz w:val="16"/>
          <w:szCs w:val="16"/>
        </w:rPr>
        <w:t>Выписывается под наблюдение участкового терапевта;</w:t>
      </w:r>
    </w:p>
    <w:p>
      <w:pPr>
        <w:pStyle w:val="Textbody"/>
        <w:tabs>
          <w:tab w:val="clear" w:pos="708"/>
          <w:tab w:val="left" w:pos="1638" w:leader="none"/>
        </w:tabs>
        <w:rPr>
          <w:rFonts w:ascii="Roboto" w:hAnsi="Roboto"/>
        </w:rPr>
      </w:pPr>
      <w:r>
        <w:rPr>
          <w:rFonts w:cs="Calibri" w:ascii="Roboto" w:hAnsi="Roboto" w:cstheme="minorHAnsi"/>
          <w:sz w:val="16"/>
          <w:szCs w:val="16"/>
        </w:rPr>
        <w:tab/>
        <w:t>в плановом порядке в удовлетворительном состоянии с улучшением.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Вызов врача на дом / На прием к врачу {{ дата_прием }}г.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Calibri" w:ascii="Roboto" w:hAnsi="Roboto" w:cstheme="minorHAnsi"/>
          <w:b/>
          <w:sz w:val="16"/>
          <w:szCs w:val="16"/>
        </w:rPr>
        <w:t>ЛН №________________________________</w:t>
      </w:r>
      <w:r>
        <w:rPr>
          <w:rFonts w:cs="Calibri" w:ascii="Roboto" w:hAnsi="Roboto" w:cstheme="minorHAnsi"/>
          <w:sz w:val="16"/>
          <w:szCs w:val="16"/>
        </w:rPr>
        <w:t xml:space="preserve">, открытый, продлен по {{ Продление_ПО_вып }} </w:t>
      </w:r>
      <w:bookmarkStart w:id="5" w:name="_Hlk518376154"/>
      <w:bookmarkEnd w:id="5"/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  <w:u w:val="single"/>
        </w:rPr>
        <w:br/>
        <w:t>РЕКОМЕНДАЦИИ НА АМБУЛАТОРНОМ ЭТАПЕ</w:t>
      </w:r>
      <w:r>
        <w:rPr>
          <w:rFonts w:cs="Calibri" w:ascii="Roboto" w:hAnsi="Roboto" w:cstheme="minorHAnsi"/>
          <w:b/>
          <w:sz w:val="16"/>
          <w:szCs w:val="16"/>
        </w:rPr>
        <w:t>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1.Ежедневная ЛФК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по индивидуальной программе, развитие мелкой моторики, дыхательная гимнастика, глазодвигательная гимнастика, развитие социальной независимости.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Вертикализация: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Ходьба в полном объеме в условиях хорошей освещенности, подъем и спуск по лестнице, прогулки на свежем воздухе.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Ходьба с опорой на трость в условиях хорошей освещенности, тренировка постановки стопы и навыка переноса веса тела, тренировка подъема и спуска по лестнице.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Исключить работу в наклон, работу связанную с длительным принятием статичной позы.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Вертикализация: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Ходьба в полном объеме в условиях хорошей освещенности.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* Ограничение физической нагрузки на поясничный отдел позвоночника, ежедневная ЛФК.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Физическая культура: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не менее 60 минут в день умеренной аэробной физической активности (ходьба, скандинавская ходьба, легкая гимнастика, теренкур — по возможности в лесо-парковой зоне) не менее 5 раз в неделю (всего 150 минут)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* Ортопедический режим: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Ортопедические средства поддержки (корсет) одевать при физической нагрузке, если предстоит длительное сидение, подъем и перемещение тяжести. 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Избегать ношение тяжести, если это невозможно, то вес поднимать за счет ног, держа осанку, не отклонятся назад, держать груз максимально близко к телу, на уровне пупка, перемещаться небольшими шажками, на длинные расстояние переносить груз лучше на спине равномерно распределив нагрузку, при необходимости груз лучше толкать, чем тащить за собой. 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Избегать резких наклонов, поворотов, прыжков, ударов и т.д, 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Избегать длительных статических нагрузок.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Не поднимать больше одного килограмма в каждую руку затем постепенно можно увеличить вес до пяти килограммов на две руки (2,5кг в каждую руку), при хорошей переносимости нагрузки – максимально допустимый вес 10 кг (5кг в каждую руку); 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Нагрузка должна распределяться равномерно, избегать чтобы одна половина туловища была расслабленной, а другая испытывала нагрузку. Поэтому сумки через плечо носить не рекомендуется, отдать предпочтение рюкзакам; </w:t>
      </w:r>
    </w:p>
    <w:p>
      <w:pPr>
        <w:pStyle w:val="Normal"/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Давать отдых позвоночнику, примерно каждые два часа (на ровной, умеренно твердой поверхности лежа на боку согнув ноги в колени и подогнув их к животу (поза «эмбриона») или лежа на спине согнув ноги в коленях подложив под них валики желательно достигнуть угла в 90 градусов между бедром и телом).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Йогатерапия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Кинезиотейпирование: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при усилении болевого синдрома, определение необходимой аппликации по результатам мануально-мышечного тестирования.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Массаж: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пояснично-крестцовой области курсами 2 раза в год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Плавание: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в бассейне; 2 раза в неделю.</w:t>
      </w:r>
    </w:p>
    <w:p>
      <w:pPr>
        <w:pStyle w:val="Normal"/>
        <w:widowControl/>
        <w:rPr>
          <w:rFonts w:ascii="Roboto" w:hAnsi="Roboto" w:eastAsia="Times New Roman" w:cs="Calibri" w:cstheme="minorHAnsi"/>
          <w:kern w:val="2"/>
          <w:sz w:val="16"/>
          <w:szCs w:val="16"/>
          <w:lang w:bidi="ar-SA"/>
        </w:rPr>
      </w:pPr>
      <w:r>
        <w:rPr>
          <w:rFonts w:eastAsia="Times New Roman" w:cs="Calibri" w:cstheme="minorHAnsi" w:ascii="Roboto" w:hAnsi="Roboto"/>
          <w:kern w:val="2"/>
          <w:sz w:val="16"/>
          <w:szCs w:val="16"/>
          <w:lang w:bidi="ar-SA"/>
        </w:rPr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 xml:space="preserve">Профилактика тромбоза глубоких вен н/конечностей и тромбоэмболических осложнений: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Самостоятельная ходьба 3 часа в сутки; Ношение компрессионного трикотажа в течение всего дня до достижения времени ходьбы 3 часа в сутки. Использование прикроватного велотренажера по 10 минут каждый час.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Рекомендации по уходу: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Размещать на функциональной кровати на противопролежневом матрасе (При отсутствии матраса — переворачивать на бок/спину каждые 2 часа) в компрессионном трикотаже (Чулки, Бинты эластичные на ноги), должен быть небольшой валик под поясницу для сохранения небольшого физиологичного прогиба, плоские подушка под плечи и кисти рук, ноги несколько согнуты в коленном и тазобедренном суставе и разведены в коленях, под стопы подкладывать опору для придания стопе основного положения. Для профилактики воспаления легких - несколько раз в день укладывать на бок (Чередовать) с подогнутой нижней ногой, согнутой в локте нижней рукой, до часа на каждом боку. Дыхательная гимнастика: надувать воздушные шары, «пускать пузыри» через трубку.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При перемещении пораженных конечностей ухаживающему стоит держать их за суставы, в том числе за нижележащие (Пример: Удерживать голеностоп при движении в коленном суставе).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Аккуратно вращать и сгибать/разгибать (избегать крайних сгибаний/разгибаний) ноги в тазобедренных, коленных, голеностопных, плечевых, лучезапястных суставах по 5-10 минут каждые 2-3 часа для профилактики поражений суставов, пролежней, тромбозов. Лучше использовать в сочетании с бандажами на суставы для предотвращения травматизации, при отсутствии бандажей — удерживать сустав рукой.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 xml:space="preserve">Постепенно поднимать головной конец, присаживать с двусторонней поддержкой, позиционировать сидя с помощью подушек, вначале до 20 минут, с постепенным увеличением времени до всего светового дня. 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Присаживать на постели с ногами опущенными на опору (пол, подставка)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Массировать руки и ноги ежедневно, особенно пальцы.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Гигиена ротовой полости- обработка марлевым тампоном смоченным в водном р-р хлоргикседина 0.05-0.2% внутренней поверхности щек, языка, десен. Обработку производить мягкими массирующими движениями не прилагая излишних усилий 2-3 раза в день. Чистка зубов зубной щеткой с мягкой щетиной без пасты и зубного порошка.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Обработка трахео-, гастро-,цистостомы и смена повязки ежедневно. Аккуратно промакивать область трахео-, гастро-,цистостомы марлевым тампоном с раствором антисептика, не тереть. Накладывать стерильную повязку.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Гигиена промежности после каждого акта дефекации. Использовать влажные салфетки, промакивать излишки влаги ватными тампонами.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Гигиена тела не реже 1 раза в неделю. Использовать мягкие, хорошо впитывающие полотенца для удаления влаги на коже. Не ВЫТИРАТЬ, предпочтите промакивание кожи полотенцем (приложить и дать воде впитаться).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0"/>
          <w:sz w:val="16"/>
          <w:szCs w:val="16"/>
          <w:lang w:eastAsia="ru-RU" w:bidi="ar-SA"/>
        </w:rPr>
        <w:t>В случае развития сухости кожи рук и ног — использовать нежирные увлажняющие косметические крема, не мажьте пролежни.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Логопедия: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артикуляционная гимнастика, мимическая гимнастика, самомассаж лица, занятия с логопедом.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Когнитивный тренинг: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когнитивная гимнастика; соблюдение режима дня, регулярные прогулки на свежем воздухе.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Коррекция неглекта: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активное сенсорное полимодальное (зрительное, тактильное, слуховое) раздражение левой половины пространства. При контакте с пациентом следует находится слева. Звуковые (радио, телевизор), зрительные (фотографии родственников, телевизор) раздражители так же следует расположить в левой половине пространства. Рекомендуется привязать яркую атласную ленту любимого цвета на запястье левой руки.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2.Лечение на амбулаторном этапе: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2.1 Вторичная профилактика </w:t>
      </w:r>
      <w:r>
        <w:rPr>
          <w:rFonts w:cs="Calibri" w:ascii="Roboto" w:hAnsi="Roboto" w:cstheme="minorHAnsi"/>
          <w:sz w:val="16"/>
          <w:szCs w:val="16"/>
        </w:rPr>
        <w:t>(Прием данной терапии достоверно снижает риск развития повторного инсульта)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 xml:space="preserve">*Антигипертензивная терапия 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ежедневно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Лозартан (Блоктран /Лориста /Лозап) 25//50//100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Валсартан (Вальсакор /Диован) 80//160//320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Телмисартан (Телзап /Микардис) 20//40//80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Эналаприл (Энап /Берлиприл) 5//10//20 мг 2р/д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Рамиприл (Хартил /Амприлан) 2,5//5//10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Периндоприл (Перинева /Престариум)2//4//8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Амлодипин (Норвакс /Тенокс) 5//10 мг вечером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Лерканидипин (Леркамен /Занидип-Рекордати) 5//10//20 мг вечером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Гидрохлортиазид (Гипотиазид) 12,5//25 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Таблетки Спироналоктон (Верошпирон /Верошпилактон) 25//50 мг утром;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Индапамид (Арифон-ретард /Индап) 2,5мг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Торасимид (Лотанел /Диувер) 5//10мг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Моксонидин (Физиотенз /Моксарел) 0.2//0.3//0.4 мг 2р/д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Бисопролол (Конкор /Бидоп) 2,5мг 1р/д утром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, под контролем пульса, не принимать, если пульс ниже 55-60 ударов в минуту.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Метопролол сукцинат (Эгилок ретард/ Бетолок-ЗОК) 25//50//100мг 1р/д утром,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 xml:space="preserve"> под контролем пульса, не принимать, если пульс ниже 55-60 ударов в минуту.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Таблетки Ивабрадин (Бравадин/Кораксан) 5мг 2р/д, 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под контролем пульса, не принимать, если пульс ниже 55-60 ударов в минуту.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Целевое АД 125-135/80-85 мм.рт.ст. ЧСС 55-80/мин.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В случае подъема АД более чем 160/....мм.рт.ст — прием Каптоприл 25 мг под язык. Оценка эффективности через 30 минут. При неэффективности — вызов БСМП.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*Липидоснижающая терапия ежедневно: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Аторвастатин (Липримар/Аторис) 40//80мг вечером внутрь.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Таблетки Розувастатин (Крестор/Розард) 10//20 мг вечером внутрь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Питавастатин (Ливазо) 1//2//4мг вечером внутрь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Контроль АЛТ, АСТ каждые 3 месяца. Контроль липидного спектра 1 раз в полгода.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*Антиагрегантная терапия ежедневно: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Ацетилсалициловая к-та (Кардиомагнил/Ацекардол/Аспирин-кардио) 75-100 мг вечером или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Клопидогрел (Плавикс/Зилт/Плагрил) 75мг вечером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Ацетилсалициловая к-та + Клопидогрел (Коплавикс/ПлагрилА) 100мг+75мг вечером</w:t>
      </w:r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i/>
          <w:kern w:val="2"/>
          <w:sz w:val="16"/>
          <w:szCs w:val="16"/>
          <w:lang w:bidi="ar-SA"/>
        </w:rPr>
        <w:t>В случае появления синячков,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  <w:bookmarkStart w:id="6" w:name="_Hlk520275441"/>
      <w:bookmarkEnd w:id="6"/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*Антикоагулянтная терапия ежедневно: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Апиксабан (Эликвис) 5мг в 09:00 и в 21:00 или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Ривароксабан (Ксарелто) 20мг в 19:00 или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Капсулы Дабигатрана этексилат (Прадакса) 110мг в 09:00 и в 21:00 или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Варфарин (Варфарин/Варфарин Канон/ Варфарин никомед) 2,5мг вечером (контроль МНО 1р в 10дней, целевые значения 2.0-3.0)</w:t>
      </w:r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Прием антикоагулянтов строго под контролем скорости клубочковой фильтрации, креатинина, мочевины через 3 месяца после начала приема, далее не реже 1 раза в 6 месяцев</w:t>
      </w:r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i/>
          <w:kern w:val="2"/>
          <w:sz w:val="16"/>
          <w:szCs w:val="16"/>
          <w:lang w:bidi="ar-SA"/>
        </w:rPr>
        <w:t>В случае появления синячков,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*Сахароснижающая терапия ежедневно: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Питание в соответствие с лечебным столом №9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Метформин (Глиформин/Глюкофаж/Сиофор) 1000мг 2 раза в день за 15-30 минут до еды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Вилдаглиптин+Метформин (Главус Мет/Метаглиптин-Медисорб) 50+500мг 2р/д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Гликлазид (Диабетон/Диабефарм) МВ 60//90//120мг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Глибенкламид (Манинил) 3,5мг утром и днем перед едой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Эмпаглифлозин (Джардинс) 10//25мг утром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Дапаглифлозин (Форсига) 10мг 1р/д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Вилдаглиптин (Главус/ Вилдаглиптин Медисорб) 50/100мг 1р/д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Раствор Инсулин-изофан (Хумулин НПХ/Ринсулин НПХ/Биосулин Н)16/14 ЕД подкожно утром и вечером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Раствор Инсулин растворимый (Хумулин Регуляр/Ринсулин Р/Актропид НМ/Инсульман Рапид ГТ/Биосулин Р) 6Ед 2р/д за 30 мин до еды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Целевой уровень гликемии 4-11ммоль/л.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Целевой уровень гликированного гемоглобина 7%.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терапевта/эндокринолога 2 раза в год.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*Вазодилатирующее средство, нитрат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Таблетки Изосорбида мононитрат(Моносан/Пектрол/Моночинкве/Эфокс) 10//20//40мг 2р/д;</w:t>
      </w:r>
    </w:p>
    <w:p>
      <w:pPr>
        <w:pStyle w:val="Normal"/>
        <w:widowControl/>
        <w:ind w:left="708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*Антиаритмические терапия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Таблетки Амиодарон (Кордарон /Кардиодарон) 200мг 1р/д утром,</w:t>
      </w:r>
      <w:r>
        <w:rPr>
          <w:rFonts w:eastAsia="Times New Roman" w:cs="Calibri" w:ascii="Roboto" w:hAnsi="Roboto" w:cstheme="minorHAnsi"/>
          <w:bCs/>
          <w:i/>
          <w:kern w:val="2"/>
          <w:sz w:val="16"/>
          <w:szCs w:val="16"/>
          <w:lang w:bidi="ar-SA"/>
        </w:rPr>
        <w:t xml:space="preserve"> под контролем гормонов щитовидной железы (ТТГ; Т3; Т4) 1 раз в месяц;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ab/>
      </w:r>
      <w:r>
        <w:rPr>
          <w:rFonts w:eastAsia="Times New Roman" w:cs="Calibri" w:ascii="Roboto" w:hAnsi="Roboto" w:cstheme="minorHAnsi"/>
          <w:bCs/>
          <w:i/>
          <w:iCs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*Метаболическая терапия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Таблетки Фолиевой кислоты 1мг по 3 таблетки 1 раз в день длительно, не менее 3 лет.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bidi="ar-SA"/>
        </w:rPr>
        <w:t>Раствор Цианокобаламина (Вит.В12) 1мл в/м в течение 10 дней, курсами 3 раза в год.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i/>
          <w:iCs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2.2 Прочее лечение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color w:val="000000"/>
          <w:sz w:val="16"/>
          <w:szCs w:val="16"/>
        </w:rPr>
        <w:t>*Ботулинотерапия</w:t>
      </w:r>
    </w:p>
    <w:p>
      <w:pPr>
        <w:pStyle w:val="Normal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color w:val="000000"/>
          <w:sz w:val="16"/>
          <w:szCs w:val="16"/>
        </w:rPr>
        <w:t>Консультация ботулинотерапевта с последующей постановкой инъекций ботулотоксина (Ксеомин/Диспорт/Ботокс) в спастичные мышцы конечностей каждые 4-5 месяцев по плановому направлению от невролога по месту жительства в условиях отделения медицинской реабилитации ГКБ им.С.Н.Гринберга (зав.отделением мед.реабилитации Сергей Васильевич Тыричев, тел.251-80-41).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*Коррекция нарушений сна/циркадианных ритмов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Ложиться спать и просыпаться по режиму(спать с 22 до 6 часов). Отказаться от дневного сна. За 30 минут до сна отключить телевизор, отложить все занятия. Находиться в тишине и покое.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Мелатонин 3 мг за 30 минут до сна внутрь длительно, не менее 1 месяца.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При острых нарушениях сна — прием таблеток Доксиламин 15 мг внутрь однократно, не применять более 5 дней подряд.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*Профилактика гастропатии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Капсулы Омепразол (Омез) 20мг вечером в течение 2 месяцев.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*Нормотимическая 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Капсулы Флуоксетин (Прозак/Профлузак) 20мг утром длительно, не менее 6 месяцев;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Амитриптилин 25мг на ночь длительно, не менее 5 месяцев;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Сертралин (Торин/Стимулотон/Золофт) 50мг утром длительно, при необходимости продолжить титрование дозировки под контролем невролога/психотерапевта/психиатра.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Тразодон (Тритика) 50мг утром длительно, при необходимости продолжить титрование дозировки под контролем невролога/психотерапевта/психиатра.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невролога/психотерапевта.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*Противотревожная 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Адаптол 500мг по 1 таблетке 2 раза в день в течение 2 месяцев.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невролога/психотерапевта.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bidi="ar-SA"/>
        </w:rPr>
        <w:t>*Коррекция когнитивных нарушений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Прием противодементных средств: Таблетки Акатинол-Мемантин (Меморель/Марукса/Нооджерон) по схеме: 1 неделя — 5мг утром; 2 неделя — по 5мг утром и днем; 3 неделя — 10мг утром и 5мг днем; 4 неделя — по 10мг утром и днем, далее длительный прием по 10мг утром и днем не менее 6 месяцев, при хорошей переносимости препарата возможен переход на постоянный прием.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color w:val="000000"/>
          <w:kern w:val="2"/>
          <w:sz w:val="16"/>
          <w:szCs w:val="16"/>
          <w:lang w:bidi="ar-SA"/>
        </w:rPr>
        <w:t>*Ноотропная/сосудистая 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Капсулы Бетагистин (Бетасерк /Вестикап /Тагиста) 24мг по 1 капсуле 2 раза в день в течение 2 месяцев.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bookmarkStart w:id="7" w:name="_Hlk530013605"/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Капсулы Пирацетам (Ноотропил /Максотропил)400мг по 1 капсуле 3 раза в день в течение 1 месяца, курсовой прием по данной схеме 2-3 раза в год.</w:t>
      </w:r>
      <w:bookmarkEnd w:id="7"/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Капсулы Холина альфосцерат (Глиатилин /Холитилин /Церепро) 400мг по 1 капсуле 3 раза в день в течение 1 месяца, курсовой прием по данной схеме 2-3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Глицин 100мг по 2 таблетки под язык на ночь в течение 1 месяца, курсовой прием по данной схеме 2-3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Винпоцетин (Кавинтон /Бравинтон) 5мг по 1 таблетке 3 раза в день в течение 1 месяца, курсовой прием по данной схеме 2-3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Раствор Цитиколина (Цераксон /Рекогнан) 1000мг-10мл в саше, по 1 саше внутрь утром (можно предварительно растворить в половине стакана воды) в течение 3 месяцев.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Танакан (Билобил) 40мг по 1 таблетке 3 раза в день в течение 3 месяцев, курсовой прием по данной схеме 2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Цитофлавин по 2 таблетки 2 раза в день в течение 21 дня, курсовой прием по данной схеме 3 раза в год.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Раствор Семакс 1% капли назальные 3-4 раза в день по 2-3капли до 10дней;</w:t>
      </w:r>
    </w:p>
    <w:p>
      <w:pPr>
        <w:pStyle w:val="Normal"/>
        <w:widowControl/>
        <w:ind w:left="851" w:hanging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color w:val="000000"/>
          <w:kern w:val="2"/>
          <w:sz w:val="16"/>
          <w:szCs w:val="16"/>
          <w:lang w:bidi="ar-SA"/>
        </w:rPr>
        <w:t>*Уросептики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Фуразидин (Фурагин) 50мг по 2 таблетки 3 раза в день в течение 10 дней, далее длительный прием растительных уросептиков (канефрон/брусничный лист) не менее 3 месяцев.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 xml:space="preserve">Порошок 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Фосфомицин (Монурал; Экофомурал) 3г 1р вечером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Контроль ОАМ, ОАК через 14 дней.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Капсулы Тамсулозин (Омник/Фокусин) 0.4мг по 1 капсуле 1р/д утром длительно оценка эффективности на приеме у уролога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0" w:hanging="0"/>
        <w:textAlignment w:val="auto"/>
        <w:outlineLvl w:val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eastAsia="ru-RU" w:bidi="ar-SA"/>
        </w:rPr>
        <w:t xml:space="preserve">Плановое направление на КУДИ (комплексное уродинамическое исследование) 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0" w:hanging="0"/>
        <w:textAlignment w:val="auto"/>
        <w:outlineLvl w:val="0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eastAsia="ru-RU" w:bidi="ar-SA"/>
        </w:rPr>
        <w:t>Консультация с урологом решение вопроса о переводе на интермиттирующую катетеризацию мочевого пузыря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Учет диуреза, ведение дневника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Промывание цистостомы водным р-р 0.5% хлоргекседина </w:t>
      </w: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 xml:space="preserve"> </w:t>
      </w:r>
      <w:r>
        <w:rPr>
          <w:rFonts w:eastAsia="Times New Roman" w:cs="Calibri" w:ascii="Roboto" w:hAnsi="Roboto" w:cstheme="minorHAnsi"/>
          <w:b/>
          <w:kern w:val="2"/>
          <w:sz w:val="16"/>
          <w:szCs w:val="16"/>
          <w:u w:val="single"/>
          <w:lang w:bidi="ar-SA"/>
        </w:rPr>
        <w:t>только при появление в моче сгустков, хлопьев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Замена цистостомы 1раз в месяц или по потребности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При выпадение цистостомы, выделение большого количества мочи мимо цистостомы обратится за срочной медицинской помощью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Наблюдение у уролога по месту жительства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*Противопаркинсоническое седства: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Леводопа + Карбидопа (Наком //Медоар// Леводопа/Бенсеразид-Тева) по 125мг 3р/д;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терапии и коррекция дозы на приеме у невролога по месту жительства.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*Гипоурикемическое средство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Аллопуринол(Милурит) 100мг утром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терапии и коррекция дозы на приеме у терапевта по месту жительства.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</w:t>
      </w:r>
      <w:r>
        <w:rPr>
          <w:rFonts w:cs="Calibri" w:ascii="Roboto" w:hAnsi="Roboto" w:cstheme="minorHAnsi"/>
          <w:b/>
          <w:kern w:val="2"/>
          <w:sz w:val="16"/>
          <w:szCs w:val="16"/>
          <w:lang w:bidi="ar-SA"/>
        </w:rPr>
        <w:t>Корректоры уродинамики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Капсулы Тамсулозин (Омник /Фокусим) 0,4мг утром 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терапии и коррекция дозы на приеме у уролога по месту жительства.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 </w:t>
      </w: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Железосодержащие препараты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Таблетки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val="en-US" w:bidi="ar-SA"/>
        </w:rPr>
        <w:t>Fe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2+Аскорбиновая к-т (Сорбифер-Дурулес /Ферролекс) 100мг+60мг</w:t>
      </w: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 xml:space="preserve"> 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1р/д утром до 2 месяцев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Контроль ОАК; 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терапии и коррекция дозы на приеме у терапевта по месту жительства.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*</w:t>
      </w: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Ангиопротекторы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Рутозид(Венорутон /Рутин) 20мг 1р/д днем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outlineLvl w:val="0"/>
        <w:rPr>
          <w:rFonts w:ascii="Roboto" w:hAnsi="Roboto"/>
          <w:sz w:val="16"/>
          <w:szCs w:val="16"/>
        </w:rPr>
      </w:pPr>
      <w:r>
        <w:rPr>
          <w:rFonts w:eastAsia="" w:cs="Calibri" w:ascii="Roboto" w:hAnsi="Roboto" w:cstheme="minorHAnsi" w:eastAsiaTheme="majorEastAsia"/>
          <w:color w:val="000000"/>
          <w:kern w:val="2"/>
          <w:sz w:val="16"/>
          <w:szCs w:val="16"/>
        </w:rPr>
        <w:t xml:space="preserve">Таблетки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eastAsia="ru-RU" w:bidi="ar-SA"/>
        </w:rPr>
        <w:t>Гесперидин + Диосмин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eastAsia="ru-RU" w:bidi="ar-SA"/>
        </w:rPr>
        <w:t xml:space="preserve"> (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eastAsia="ru-RU" w:bidi="ar-SA"/>
        </w:rPr>
        <w:t>Венарус /Ангиорус</w:t>
      </w:r>
      <w:r>
        <w:rPr>
          <w:rFonts w:eastAsia="Times New Roman" w:cs="Calibri" w:ascii="Roboto" w:hAnsi="Roboto" w:cstheme="minorHAnsi"/>
          <w:b/>
          <w:bCs/>
          <w:kern w:val="2"/>
          <w:sz w:val="16"/>
          <w:szCs w:val="16"/>
          <w:lang w:eastAsia="ru-RU" w:bidi="ar-SA"/>
        </w:rPr>
        <w:t xml:space="preserve">) </w:t>
      </w:r>
      <w:r>
        <w:rPr>
          <w:rFonts w:eastAsia="Times New Roman" w:cs="Calibri" w:ascii="Roboto" w:hAnsi="Roboto" w:cstheme="minorHAnsi"/>
          <w:bCs/>
          <w:kern w:val="2"/>
          <w:sz w:val="16"/>
          <w:szCs w:val="16"/>
          <w:lang w:eastAsia="ru-RU" w:bidi="ar-SA"/>
        </w:rPr>
        <w:t>100мг+900мг по 1 таблетке 1 р/д утром во время приема пищи, длительно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 xml:space="preserve">Оценка эффективности терапии и коррекция дозы на приеме у </w:t>
      </w: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 xml:space="preserve"> хирурга по месту жительства;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*Нейротропная 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Ипидакрина гидрохлорид (Нейромидин /Аксамон) 20 мг 2 раза в день в течение 1 месяца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color w:val="000000"/>
          <w:kern w:val="2"/>
          <w:sz w:val="16"/>
          <w:szCs w:val="16"/>
          <w:lang w:bidi="ar-SA"/>
        </w:rPr>
        <w:t>*Витаминотерапия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Витамины группы В (Комбилипен /Мильгама) по 1 таблетке 2 раза в день в течение 1 месяца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color w:val="000000"/>
          <w:kern w:val="2"/>
          <w:sz w:val="16"/>
          <w:szCs w:val="16"/>
          <w:lang w:bidi="ar-SA"/>
        </w:rPr>
        <w:t>*Метаболическая терапия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color w:val="000000"/>
          <w:kern w:val="2"/>
          <w:sz w:val="16"/>
          <w:szCs w:val="16"/>
          <w:lang w:bidi="ar-SA"/>
        </w:rPr>
        <w:t>Таблетки Тиоктовой кислоты(Октолипен /Берлитион /Тиогамма) 600мг 1 раз в день за 30мин до еды утром до 1 месяца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*Хондропротекторы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Хондроитин + Глюкозамин (Артра /Терафлекс /Хондрофлекс) в стандартной дозировке 3 месяца каждые полгода;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Раствор Румалон 1раз в день через день до 5-6недель;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у травматолога – ортопеда;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*Заместительная терапия гормонов щитовидной железы: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Левотироксин натрия (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val="en-US" w:bidi="ar-SA"/>
        </w:rPr>
        <w:t>L</w:t>
      </w: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-Тироксин) 50/ 75/ 100/ 125/ 150 мкг утром 1р/д;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ab/>
      </w: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>Оценка эффективности и коррекция терапии на приеме терапевта/эндокринолога 2 раза в год, при необходимости чаще.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ab/>
        <w:t>Контроль Т3,Т4,ТТГ;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*Терапия боли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Таб. Карбамазепин (Финлепсин /Тегретол/Зептол) 200мг 2р/д длительно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 xml:space="preserve">Таб. </w:t>
      </w:r>
      <w:r>
        <w:rPr>
          <w:rFonts w:cs="Calibri" w:ascii="Roboto" w:hAnsi="Roboto" w:cstheme="minorHAnsi"/>
          <w:color w:val="000000"/>
          <w:sz w:val="16"/>
          <w:szCs w:val="16"/>
        </w:rPr>
        <w:t>Окскарбазепин (Трилепта /Окскарбамазепин-натив) 300мг 2р/д длительно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Кап. Габапентина (Тебантин /Конвалис) 300мг на ночь длительно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Cs/>
          <w:color w:val="000000"/>
          <w:kern w:val="2"/>
          <w:sz w:val="16"/>
          <w:szCs w:val="16"/>
          <w:lang w:bidi="ar-SA"/>
        </w:rPr>
        <w:t>Капсулы Диацереин (Диафлекс /Артрокер /Артродарин) 50мг 1р/д утром до 4 недель, затем до 50мг 2р/д до 4 месяцев.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При усилении болевого синдрома — Таблетки Ксефокам 8 мг утром и вечером до 5 дней, совместно с ИПП: Капс.Омепразол 20мг вечером на весь курс приема обезболивающих (НПВС).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*Противоэпилептическая терапия: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Вальпроевой кислоты – 500мг 2р/д;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Леветирацетам (Кеппра / Леветинол) 1500мг утром и вечером ежедневно;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невролога/терапевта;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kern w:val="2"/>
          <w:sz w:val="16"/>
          <w:szCs w:val="16"/>
          <w:lang w:bidi="ar-SA"/>
        </w:rPr>
        <w:t>*Миорелаксанты: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Толпирезон (Мидокалм/Толизор) 150мг 3р/д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Таблетки Тизанидин (Сирдалут/Тизалуд) 2мг 3р/д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 xml:space="preserve">Таблетки Баклофен (Баклосан/Баклофен) 5мг 3р/д (15мг/сут); Увеличение суточной дозы на 5мг каждые 3-7 дней, не более 75мг/сутки;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kern w:val="2"/>
          <w:sz w:val="16"/>
          <w:szCs w:val="16"/>
          <w:lang w:bidi="ar-SA"/>
        </w:rPr>
        <w:t>Увеличение дозы только после консультации с неврологом.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kern w:val="2"/>
          <w:sz w:val="16"/>
          <w:szCs w:val="16"/>
          <w:lang w:bidi="ar-SA"/>
        </w:rPr>
        <w:t xml:space="preserve">Коррекция дозы и оценка эффективности на приеме у невролога 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color w:val="000000"/>
          <w:kern w:val="2"/>
          <w:sz w:val="16"/>
          <w:szCs w:val="16"/>
          <w:lang w:bidi="ar-SA"/>
        </w:rPr>
        <w:t>*Противоотечная терапия:</w:t>
      </w:r>
    </w:p>
    <w:p>
      <w:pPr>
        <w:pStyle w:val="Normal"/>
        <w:widowControl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color w:val="000000"/>
          <w:kern w:val="2"/>
          <w:sz w:val="16"/>
          <w:szCs w:val="16"/>
          <w:lang w:bidi="ar-SA"/>
        </w:rPr>
        <w:t>Таблетки Ацетазоламид (Диакарб) 250мг 1раз в 3 дня</w:t>
      </w:r>
    </w:p>
    <w:p>
      <w:pPr>
        <w:pStyle w:val="Normal"/>
        <w:widowControl/>
        <w:ind w:firstLine="708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i/>
          <w:color w:val="000000"/>
          <w:kern w:val="2"/>
          <w:sz w:val="16"/>
          <w:szCs w:val="16"/>
          <w:lang w:bidi="ar-SA"/>
        </w:rPr>
        <w:t>Оценка эффективности и коррекция терапии на приеме невролога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*Профилактика запоров: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Стул</w:t>
      </w:r>
      <w:r>
        <w:rPr>
          <w:rFonts w:cs="Calibri" w:ascii="Roboto" w:hAnsi="Roboto" w:cstheme="minorHAnsi"/>
          <w:b/>
          <w:sz w:val="16"/>
          <w:szCs w:val="16"/>
        </w:rPr>
        <w:t xml:space="preserve"> </w:t>
      </w:r>
      <w:r>
        <w:rPr>
          <w:rFonts w:cs="Calibri" w:ascii="Roboto" w:hAnsi="Roboto" w:cstheme="minorHAnsi"/>
          <w:sz w:val="16"/>
          <w:szCs w:val="16"/>
        </w:rPr>
        <w:t>должен быть не реже 1 раза в 2 дня (не реже 3 раз в неделю), при запорах использовать слабительные средства.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Соблюдение диеты, употребление продуктов с высоким содержанием пищевых волокон (пшеничные отруби, овсяные хлопья, ягоды, орехи и т.д ) в достаточном количестве. Употребление достаточное количество питьевой воды до 2литров в сутки (6-8 стаканов воды). Достаточное количество физической активности.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Порошок Исфагула (Мукофальк /Фибралакс) по 1 пакетику (300мг) 2 раза в день, за 30-60 минут до приема лекарственных средств (ЛС) или через тот же промежуток времени после приема ЛС. Запивая большим количеством воды. До 2-3 месяцев. (Контроль и коррекция эффективности гипогликемической терапии и приеме заместительной терапии гормонов щитовидной железы – при наличие, по показаниям)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При длительно сохраняющимся нарушение стула.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Порошок Макрогол (Фортранс /Форлакс) по 1 пакетику (10грамм) в день в первую половину дня, с последующей коррекцией дозы и кратности. Длительность приема до 3 месяцев.;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Раствор Лактулозы (Нормазе /Дюфалак) по 30мл в первую половину дня через день, с последующей коррекцией дозы и кратности.;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Порошок Лактитол (Экспортал) по 1 пакетику (10мг) 2 раза в день, с последующей коррекцией дозы. Длительность приема до 5 месяцев.;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При остром нарушение стула.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Таблетки Бисакодил (Дульколакс /Гутталакс Экспресс) 10мг 1р/д перед сном, с последующей коррекцией дозы, прием не более 14 дней.;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Раствор Пикосульфат натрия (Гутталакс /Слабелен) 10мг 1р/д перед сном, с последующей коррекцией дозы, прием не более 10дней.;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Таблетки Сенозиды А и В (Сенаде /Сеннагуд) по 1 таблетке перед сном, с последующей коррекцией дозы, прием не более 14 дней.;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При длительном нарушение стула.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Таблетки Прукалоприд (Вегапрат /Резолот) по 2мг утром, с коррекцией дозы при необходимости, прием до 4 недель.;</w:t>
      </w:r>
    </w:p>
    <w:p>
      <w:pPr>
        <w:pStyle w:val="Normal"/>
        <w:widowControl/>
        <w:suppressAutoHyphens w:val="false"/>
        <w:ind w:firstLine="708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i/>
          <w:sz w:val="16"/>
          <w:szCs w:val="16"/>
        </w:rPr>
        <w:t>Применение слабительных средств, кратность и длительность терапии строго по согласованию с лечащим/участковым врачом.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*Ортезы, технические средства реабилитации, средства ухода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*Ортопедическая обувь/стельки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*Ортез лучезапястный сустав с фиксацией кисти и пальцев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*Косыночный бандаж на руку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*Бандаж на голеностопный сустав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*Ортез на коленный сустав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*Ортез на голеностопный сустав (стоподержатель)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*Компрессионный трикотаж на ноги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*Одноопорная трость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*Четырехопорная трость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*Рамка для ходьбы (Переставные ходунки)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*Прикроватный стул-туалет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 xml:space="preserve">*Противопролежневый </w:t>
      </w:r>
      <w:bookmarkStart w:id="8" w:name="_Hlk531119645"/>
      <w:r>
        <w:rPr>
          <w:rFonts w:cs="Calibri" w:ascii="Roboto" w:hAnsi="Roboto" w:cstheme="minorHAnsi"/>
          <w:sz w:val="16"/>
          <w:szCs w:val="16"/>
        </w:rPr>
        <w:t>матрас</w:t>
      </w:r>
      <w:bookmarkEnd w:id="8"/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*Кресло каталка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*Абсорбирующее бельё + средства личной гигиены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3.Наблюдение специалистов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*Невролог — не менее 2 раз в год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*Кардиолог — не менее 2 раз в год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*Офтальмолог — не менее 1 раза в год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*Эндокринолог — не менее 4 раз в год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4.Обследования на амбулаторном этапе: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*Ведение дневника</w:t>
      </w:r>
      <w:r>
        <w:rPr>
          <w:rFonts w:cs="Calibri" w:ascii="Roboto" w:hAnsi="Roboto" w:cstheme="minorHAnsi"/>
          <w:sz w:val="16"/>
          <w:szCs w:val="16"/>
        </w:rPr>
        <w:t xml:space="preserve"> АД и пульса (Измерение артериального давления и пульса утром и вечером после 20 минут покоя, полученные данные записывать). Целевое АД 120-130/80-85 мм.рт.ст. ЧСС 55-74/мин. Предоставлять дневник терапевту/кардиологу на приеме.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При подъемах давления, развитии отеков, одышки — консультация кардиолога и коррекция терапии в максимально короткие сроки.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*Комплекс обследований:</w:t>
      </w:r>
      <w:r>
        <w:rPr>
          <w:rFonts w:cs="Calibri" w:ascii="Roboto" w:hAnsi="Roboto" w:cstheme="minorHAnsi"/>
          <w:sz w:val="16"/>
          <w:szCs w:val="16"/>
        </w:rPr>
        <w:t xml:space="preserve"> ЭХО КГ, УЗДГ БЦА – 1 раз в 3 года; ЭКГ, ОАК, ОАМ, Биохимический анализ крови (Креатинин, мочевина, глюкоза, АЛТ, АСТ, билирубин), коагулограмма – не реже 1 раза в год, или чаще по показаниям (ССЗ)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*Ведение дневника </w:t>
      </w:r>
      <w:r>
        <w:rPr>
          <w:rFonts w:cs="Calibri" w:ascii="Roboto" w:hAnsi="Roboto" w:cstheme="minorHAnsi"/>
          <w:sz w:val="16"/>
          <w:szCs w:val="16"/>
        </w:rPr>
        <w:t>гликемии (Измерение уровня глюкозы персональным глюкометром 3 раза в день перед едой, полученные данные записывать). Целевой уровень гликемии 4-10ммоль/л. Предоставлять терапевту/эндокринологу на приеме.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>Эндокринолога с целью коррекции сахароснижающей терапии.</w:t>
      </w:r>
      <w:bookmarkStart w:id="9" w:name="_Hlk531129242"/>
      <w:bookmarkEnd w:id="9"/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 xml:space="preserve">*Лабораторный анализ: </w:t>
      </w:r>
      <w:r>
        <w:rPr>
          <w:rFonts w:cs="Calibri" w:ascii="Roboto" w:hAnsi="Roboto" w:cstheme="minorHAnsi"/>
          <w:sz w:val="16"/>
          <w:szCs w:val="16"/>
        </w:rPr>
        <w:t>Гликозилированный гемоглобин — не реже 3 раз в год.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>Ортопеда для уточнения диагноза, назначения ортезов.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>Ангиохирурга с результатами УЗДГ БЦА для решения вопроса об оперативном лечении.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bCs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>Психиатра в плановом порядке, по месту жительства для верификации деменции и уточнение тактики ведения.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 xml:space="preserve">в Центре психотерапевтической помощи (г.Пермь, ул.М.Горького, 75) или Больнице №8 (г.Пермь, ул.Г.Хасана, 20) для верификации тревожно-депрессивного расстройства. 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cs="Calibri" w:ascii="Roboto" w:hAnsi="Roboto" w:cstheme="minorHAnsi"/>
          <w:sz w:val="16"/>
          <w:szCs w:val="16"/>
        </w:rPr>
        <w:t xml:space="preserve">Терапевта/гематолога с целью верификации анемии. Рекомендованное обследование: ОАК с оценкой: MCV(среднего объема эритроцитов), ретикулоцитов;. Сывороточное </w:t>
      </w:r>
      <w:r>
        <w:rPr>
          <w:rFonts w:cs="Calibri" w:ascii="Roboto" w:hAnsi="Roboto" w:cstheme="minorHAnsi"/>
          <w:sz w:val="16"/>
          <w:szCs w:val="16"/>
          <w:lang w:val="en-US"/>
        </w:rPr>
        <w:t>Fe</w:t>
      </w:r>
      <w:r>
        <w:rPr>
          <w:rFonts w:cs="Calibri" w:ascii="Roboto" w:hAnsi="Roboto" w:cstheme="minorHAnsi"/>
          <w:sz w:val="16"/>
          <w:szCs w:val="16"/>
        </w:rPr>
        <w:t>; трансферрин; ферритин.;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*</w:t>
      </w:r>
      <w:r>
        <w:rPr>
          <w:rFonts w:cs="Calibri" w:ascii="Roboto" w:hAnsi="Roboto" w:cstheme="minorHAnsi"/>
          <w:b/>
          <w:sz w:val="16"/>
          <w:szCs w:val="16"/>
        </w:rPr>
        <w:t>Консультация:</w:t>
      </w:r>
      <w:r>
        <w:rPr>
          <w:rFonts w:cs="Calibri" w:ascii="Roboto" w:hAnsi="Roboto" w:cstheme="minorHAnsi"/>
          <w:sz w:val="16"/>
          <w:szCs w:val="16"/>
        </w:rPr>
        <w:t xml:space="preserve"> Гастроэнтеролога в плановом порядке, по месту жительства с целью верификации запора, и уточнение тактики ведения.;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*Биохимическое исследование крови: </w:t>
      </w:r>
      <w:r>
        <w:rPr>
          <w:rFonts w:cs="Calibri" w:ascii="Roboto" w:hAnsi="Roboto" w:cstheme="minorHAnsi"/>
          <w:sz w:val="16"/>
          <w:szCs w:val="16"/>
        </w:rPr>
        <w:t>на гомоцистеин, уровня фолиевой кислоты и цианокобаламина в крови. Консультация терапевта.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sz w:val="16"/>
          <w:szCs w:val="16"/>
          <w:lang w:bidi="ar-SA"/>
        </w:rPr>
        <w:t xml:space="preserve">*Контроль </w:t>
      </w:r>
      <w:r>
        <w:rPr>
          <w:rFonts w:eastAsia="Times New Roman" w:cs="Calibri" w:ascii="Roboto" w:hAnsi="Roboto" w:cstheme="minorHAnsi"/>
          <w:sz w:val="16"/>
          <w:szCs w:val="16"/>
          <w:lang w:bidi="ar-SA"/>
        </w:rPr>
        <w:t>биохимических показателей креатинин, мочевина, электролитов. Контроль СКФ, при СКФ ниже 25 мл/мин/1.73 кв.м., прием препарата Кетостерил. Консультация терапевта/ уролога/ нефролога;</w:t>
      </w:r>
    </w:p>
    <w:p>
      <w:pPr>
        <w:pStyle w:val="Normal"/>
        <w:widowControl/>
        <w:jc w:val="both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sz w:val="16"/>
          <w:szCs w:val="16"/>
          <w:lang w:bidi="ar-SA"/>
        </w:rPr>
        <w:t>*</w:t>
      </w:r>
      <w:r>
        <w:rPr>
          <w:rFonts w:eastAsia="Times New Roman" w:cs="Calibri" w:ascii="Roboto" w:hAnsi="Roboto" w:cstheme="minorHAnsi"/>
          <w:b/>
          <w:sz w:val="16"/>
          <w:szCs w:val="16"/>
          <w:lang w:bidi="ar-SA"/>
        </w:rPr>
        <w:t>Ведение</w:t>
      </w:r>
      <w:r>
        <w:rPr>
          <w:rFonts w:eastAsia="Times New Roman" w:cs="Calibri" w:ascii="Roboto" w:hAnsi="Roboto" w:cstheme="minorHAnsi"/>
          <w:sz w:val="16"/>
          <w:szCs w:val="16"/>
          <w:lang w:bidi="ar-SA"/>
        </w:rPr>
        <w:t xml:space="preserve"> дневника с учетом выпитой жидкости и диуреза.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5.Диета </w:t>
      </w:r>
      <w:r>
        <w:rPr>
          <w:rFonts w:cs="Calibri" w:ascii="Roboto" w:hAnsi="Roboto" w:cstheme="minorHAnsi"/>
          <w:sz w:val="16"/>
          <w:szCs w:val="16"/>
        </w:rPr>
        <w:t>с пониженным содержанием жира, ограничением углеводов и соли (не более 1 чайной ложки в день), жидкости. Заменить мясо на рыбу, птицу, бобовые. Удалять с мяса видимый жир, а с птицы – кожу. Не более 2-3 яичных желтков в неделю. Ограничение употребления кондитерских изделий, мороженого, субпродуктов. Предпочтение – молочным продуктам, больше овощей и фруктов. Можно: каши, хлеб грубого помола, грецкий орех, миндаль, сухофрукты. Из напитков предпочтение зеленому чаю. Рыба – 2-4 раза в неделю.</w:t>
      </w:r>
    </w:p>
    <w:p>
      <w:pPr>
        <w:pStyle w:val="Normal"/>
        <w:widowControl/>
        <w:suppressAutoHyphens w:val="false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color w:val="000000"/>
          <w:kern w:val="2"/>
          <w:sz w:val="16"/>
          <w:szCs w:val="16"/>
        </w:rPr>
        <w:t>Дробное питание 4-6 р/сутки через гастростому, перетертой (однородной, при помощи блендера) пищи с разведенной питьевой водой, промывание гастростомы после каждого кормления питьевой водой, закрывать гастростому после кормления, через час открывать на 15-20 минут и затем закрывать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 xml:space="preserve">Питьевой режим </w:t>
      </w:r>
      <w:r>
        <w:rPr>
          <w:rFonts w:cs="Calibri" w:ascii="Roboto" w:hAnsi="Roboto" w:cstheme="minorHAnsi"/>
          <w:sz w:val="16"/>
          <w:szCs w:val="16"/>
        </w:rPr>
        <w:t>– 1,5 литра чистой воды в сутки.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sz w:val="16"/>
          <w:szCs w:val="16"/>
          <w:lang w:bidi="ar-SA"/>
        </w:rPr>
        <w:t>*</w:t>
      </w:r>
      <w:r>
        <w:rPr>
          <w:rFonts w:eastAsia="Times New Roman" w:cs="Calibri" w:ascii="Roboto" w:hAnsi="Roboto" w:cstheme="minorHAnsi"/>
          <w:b/>
          <w:bCs/>
          <w:iCs/>
          <w:sz w:val="16"/>
          <w:szCs w:val="16"/>
          <w:lang w:bidi="ar-SA"/>
        </w:rPr>
        <w:t xml:space="preserve"> Контроль массы тела. </w:t>
      </w:r>
      <w:r>
        <w:rPr>
          <w:rFonts w:eastAsia="Times New Roman" w:cs="Calibri" w:ascii="Roboto" w:hAnsi="Roboto" w:cstheme="minorHAnsi"/>
          <w:bCs/>
          <w:iCs/>
          <w:sz w:val="16"/>
          <w:szCs w:val="16"/>
          <w:lang w:bidi="ar-SA"/>
        </w:rPr>
        <w:t xml:space="preserve">Целевое значение индекс массы тела (ИМТ) ниже 25 кг/м2, </w:t>
      </w:r>
      <w:r>
        <w:rPr>
          <w:rFonts w:eastAsia="Times New Roman" w:cs="Calibri" w:ascii="Roboto" w:hAnsi="Roboto" w:cstheme="minorHAnsi"/>
          <w:sz w:val="16"/>
          <w:szCs w:val="16"/>
          <w:lang w:bidi="ar-SA"/>
        </w:rPr>
        <w:t>обхват талии у мужчины не должен превышает 94 см, а у женщины – 80 см</w:t>
      </w:r>
      <w:r>
        <w:rPr>
          <w:rFonts w:eastAsia="Times New Roman" w:cs="Calibri" w:ascii="Roboto" w:hAnsi="Roboto" w:cstheme="minorHAnsi"/>
          <w:bCs/>
          <w:iCs/>
          <w:sz w:val="16"/>
          <w:szCs w:val="16"/>
          <w:lang w:bidi="ar-SA"/>
        </w:rPr>
        <w:t>. (дробное питание до 6 раз в день, подсчет калорий, консультация диет врача)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*Нутритивная поддержка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Сипинг Нутридринк 200мл (300кКал, 12г белка) внутрь по 1 бутылочке в течение 1 месяца.</w:t>
      </w:r>
    </w:p>
    <w:p>
      <w:pPr>
        <w:pStyle w:val="Textbody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Сипинг Нутридринк Компакт с пищевыми волокнами (300кКал, 12г белка, 4,5г пищ.волокон) внутрь по 1 бутылочке в течение 1 месяца.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6.</w:t>
      </w:r>
      <w:r>
        <w:rPr>
          <w:rFonts w:eastAsia="Times New Roman" w:cs="Calibri" w:ascii="Roboto" w:hAnsi="Roboto" w:cstheme="minorHAnsi"/>
          <w:b/>
          <w:bCs/>
          <w:kern w:val="0"/>
          <w:sz w:val="16"/>
          <w:szCs w:val="16"/>
          <w:lang w:eastAsia="ru-RU" w:bidi="ar-SA"/>
        </w:rPr>
        <w:t xml:space="preserve"> Дальнейшая реабилитация в амбулаторных условиях, </w:t>
      </w:r>
      <w:r>
        <w:rPr>
          <w:rFonts w:eastAsia="Times New Roman" w:cs="Calibri" w:ascii="Roboto" w:hAnsi="Roboto" w:cstheme="minorHAnsi"/>
          <w:bCs/>
          <w:kern w:val="0"/>
          <w:sz w:val="16"/>
          <w:szCs w:val="16"/>
          <w:lang w:eastAsia="ru-RU" w:bidi="ar-SA"/>
        </w:rPr>
        <w:t>повторная госпитализация согласно приказу 788н МЗ РФ от 31.07.2020г., при наличие показаний. Территориальной программе ОМС ПК.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alibri" w:ascii="Roboto" w:hAnsi="Roboto" w:cstheme="minorHAnsi"/>
          <w:b/>
          <w:bCs/>
          <w:kern w:val="0"/>
          <w:sz w:val="16"/>
          <w:szCs w:val="16"/>
          <w:lang w:eastAsia="ru-RU" w:bidi="ar-SA"/>
        </w:rPr>
        <w:t xml:space="preserve">Дальнейшая реабилитация в амбулаторных условиях, </w:t>
      </w:r>
      <w:r>
        <w:rPr>
          <w:rFonts w:eastAsia="Times New Roman" w:cs="Calibri" w:ascii="Roboto" w:hAnsi="Roboto" w:cstheme="minorHAnsi"/>
          <w:bCs/>
          <w:kern w:val="0"/>
          <w:sz w:val="16"/>
          <w:szCs w:val="16"/>
          <w:lang w:eastAsia="ru-RU" w:bidi="ar-SA"/>
        </w:rPr>
        <w:t>повторная госпитализация в отделения медицинской реабилитации не показана, в виду крайне низкого реабилитационного потенциала. Рекомендована прохождение реабилитационных мероприятий в системе комплексной реабилитации инвалидов.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Cs/>
          <w:sz w:val="16"/>
          <w:szCs w:val="16"/>
        </w:rPr>
        <w:t xml:space="preserve">Консультация в реабилитационных центрах и отделениях: 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ГБУЗ ПК ГКБ 4, отделение реабилитации (г.Пермь, ул.Ким 2)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>ГАУЗ ПК ПККГВВ, отделение реабилитации (г.Пермь, ул.Встречная 31а</w:t>
      </w:r>
      <w:bookmarkStart w:id="10" w:name="_GoBack"/>
      <w:bookmarkEnd w:id="10"/>
      <w:r>
        <w:rPr>
          <w:rFonts w:cs="Calibri" w:ascii="Roboto" w:hAnsi="Roboto" w:cstheme="minorHAnsi"/>
          <w:sz w:val="16"/>
          <w:szCs w:val="16"/>
        </w:rPr>
        <w:t>)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7.Не меняйте дозу препаратов</w:t>
      </w:r>
      <w:r>
        <w:rPr>
          <w:rFonts w:cs="Calibri" w:ascii="Roboto" w:hAnsi="Roboto" w:cstheme="minorHAnsi"/>
          <w:sz w:val="16"/>
          <w:szCs w:val="16"/>
        </w:rPr>
        <w:t xml:space="preserve"> самостоятельно, наблюдайтесь у участкового врача, сообщайте ему о переносимости терапии.</w:t>
      </w:r>
    </w:p>
    <w:p>
      <w:pPr>
        <w:pStyle w:val="Textbody"/>
        <w:spacing w:before="0" w:after="283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8.Решение</w:t>
      </w:r>
      <w:r>
        <w:rPr>
          <w:rFonts w:cs="Calibri" w:ascii="Roboto" w:hAnsi="Roboto" w:cstheme="minorHAnsi"/>
          <w:sz w:val="16"/>
          <w:szCs w:val="16"/>
        </w:rPr>
        <w:t xml:space="preserve"> медико-социальных вопросов, решение вопроса о возможном присвоении группы инвалидности, разработке ИПР</w:t>
      </w:r>
    </w:p>
    <w:p>
      <w:pPr>
        <w:pStyle w:val="Textbody"/>
        <w:spacing w:before="0" w:after="283"/>
        <w:rPr>
          <w:rFonts w:ascii="Roboto" w:hAnsi="Roboto" w:cs="Calibri" w:cstheme="minorHAnsi"/>
          <w:sz w:val="16"/>
          <w:szCs w:val="16"/>
        </w:rPr>
      </w:pPr>
      <w:r>
        <w:rPr>
          <w:rFonts w:cs="Calibri" w:cstheme="minorHAnsi" w:ascii="Roboto" w:hAnsi="Roboto"/>
          <w:sz w:val="16"/>
          <w:szCs w:val="16"/>
        </w:rPr>
      </w:r>
    </w:p>
    <w:p>
      <w:pPr>
        <w:pStyle w:val="Textbody"/>
        <w:tabs>
          <w:tab w:val="clear" w:pos="708"/>
          <w:tab w:val="left" w:pos="4536" w:leader="none"/>
        </w:tabs>
        <w:spacing w:before="0" w:after="283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Лечащий врач</w:t>
        <w:tab/>
        <w:t>{{ ФИО_врача }}</w:t>
      </w:r>
    </w:p>
    <w:p>
      <w:pPr>
        <w:pStyle w:val="Textbody"/>
        <w:tabs>
          <w:tab w:val="clear" w:pos="708"/>
          <w:tab w:val="left" w:pos="4536" w:leader="none"/>
        </w:tabs>
        <w:spacing w:before="0" w:after="283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b/>
          <w:sz w:val="16"/>
          <w:szCs w:val="16"/>
        </w:rPr>
        <w:t>Зав.отделением</w:t>
        <w:tab/>
      </w:r>
      <w:r>
        <w:rPr>
          <w:rFonts w:cs="Calibri" w:ascii="Roboto" w:hAnsi="Roboto" w:cstheme="minorHAnsi"/>
          <w:b/>
          <w:kern w:val="0"/>
          <w:sz w:val="16"/>
          <w:szCs w:val="16"/>
        </w:rPr>
        <w:t>{{ зав_отделением }}</w:t>
      </w:r>
      <w:bookmarkEnd w:id="1"/>
    </w:p>
    <w:sectPr>
      <w:type w:val="nextPage"/>
      <w:pgSz w:w="11906" w:h="16838"/>
      <w:pgMar w:left="567" w:right="424" w:gutter="0" w:header="0" w:top="531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Roboto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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7733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47733"/>
    <w:rPr>
      <w:b/>
      <w:bCs/>
    </w:rPr>
  </w:style>
  <w:style w:type="character" w:styleId="3" w:customStyle="1">
    <w:name w:val="Заголовок 3 Знак"/>
    <w:qFormat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WW8Num2z0" w:customStyle="1">
    <w:name w:val="WW8Num2z0"/>
    <w:qFormat/>
    <w:rPr>
      <w:rFonts w:ascii="Symbol" w:hAnsi="Symbol" w:cs="Symbol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647733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zh-CN" w:bidi="ar-SA"/>
    </w:rPr>
  </w:style>
  <w:style w:type="paragraph" w:styleId="Textbody" w:customStyle="1">
    <w:name w:val="Text body"/>
    <w:basedOn w:val="Standard"/>
    <w:qFormat/>
    <w:rsid w:val="00647733"/>
    <w:pPr>
      <w:jc w:val="both"/>
    </w:pPr>
    <w:rPr>
      <w:rFonts w:ascii="Tahoma" w:hAnsi="Tahoma" w:cs="Tahoma"/>
    </w:rPr>
  </w:style>
  <w:style w:type="paragraph" w:styleId="NormalWeb">
    <w:name w:val="Normal (Web)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Textbody1" w:customStyle="1">
    <w:name w:val="textbody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21" w:customStyle="1">
    <w:name w:val="Заголовок 21"/>
    <w:qFormat/>
    <w:pPr>
      <w:keepNext w:val="true"/>
      <w:widowControl/>
      <w:suppressAutoHyphens w:val="true"/>
      <w:bidi w:val="0"/>
      <w:spacing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1" w:customStyle="1">
    <w:name w:val="Заголовок 11"/>
    <w:qFormat/>
    <w:pPr>
      <w:keepNext w:val="true"/>
      <w:widowControl/>
      <w:suppressAutoHyphens w:val="true"/>
      <w:bidi w:val="0"/>
      <w:spacing w:before="0" w:after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 w:customStyle="1">
    <w:name w:val="Название объекта1"/>
    <w:qFormat/>
    <w:pPr>
      <w:widowControl/>
      <w:suppressAutoHyphens w:val="true"/>
      <w:bidi w:val="0"/>
      <w:spacing w:before="120" w:after="120"/>
      <w:jc w:val="left"/>
    </w:pPr>
    <w:rPr>
      <w:rFonts w:ascii="Calibri" w:hAnsi="Calibri" w:eastAsia="Calibri" w:cs="" w:asciiTheme="minorHAnsi" w:cstheme="minorBidi" w:eastAsiaTheme="minorHAnsi" w:hAnsiTheme="minorHAnsi"/>
      <w:i/>
      <w:iCs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1777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Application>LibreOffice/7.2.4.1$Windows_X86_64 LibreOffice_project/27d75539669ac387bb498e35313b970b7fe9c4f9</Application>
  <AppVersion>15.0000</AppVersion>
  <Pages>5</Pages>
  <Words>3566</Words>
  <Characters>23980</Characters>
  <CharactersWithSpaces>27298</CharactersWithSpaces>
  <Paragraphs>300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2018-07-26T05:41:00Z</dcterms:created>
  <dc:creator>OVL1</dc:creator>
  <dc:description/>
  <dc:language>ru-RU</dc:language>
  <cp:lastModifiedBy/>
  <cp:lastPrinted>2018-07-25T05:59:00Z</cp:lastPrinted>
  <dcterms:modified xsi:type="dcterms:W3CDTF">2023-05-18T13:51:37Z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