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03883" w14:textId="53A7FED3" w:rsidR="00F524E4" w:rsidRPr="00FB2CC2" w:rsidRDefault="00F524E4" w:rsidP="00F524E4">
      <w:pPr>
        <w:pStyle w:val="Heading1"/>
        <w:rPr>
          <w:rFonts w:ascii="Times New Roman" w:hAnsi="Times New Roman" w:cs="Times New Roman"/>
          <w:color w:val="auto"/>
          <w:sz w:val="32"/>
          <w:szCs w:val="32"/>
        </w:rPr>
      </w:pPr>
      <w:r w:rsidRPr="00FB2CC2">
        <w:rPr>
          <w:rFonts w:ascii="Times New Roman" w:hAnsi="Times New Roman" w:cs="Times New Roman"/>
          <w:color w:val="auto"/>
          <w:sz w:val="32"/>
          <w:szCs w:val="32"/>
        </w:rPr>
        <w:t xml:space="preserve">Final Client Submission Data Pack — Specific Project Overview Institutional Grade Phase 1. </w:t>
      </w:r>
    </w:p>
    <w:p w14:paraId="77656BDD" w14:textId="77777777" w:rsidR="00C31823" w:rsidRPr="00FB2CC2" w:rsidRDefault="00C31823" w:rsidP="00C31823">
      <w:pPr>
        <w:rPr>
          <w:rFonts w:ascii="Times New Roman" w:hAnsi="Times New Roman" w:cs="Times New Roman"/>
          <w:sz w:val="32"/>
          <w:szCs w:val="32"/>
        </w:rPr>
      </w:pPr>
    </w:p>
    <w:p w14:paraId="244116FA" w14:textId="3BE1FD9D" w:rsidR="005A7A10" w:rsidRPr="00FB2CC2" w:rsidRDefault="005A7A10" w:rsidP="005A7A10">
      <w:pPr>
        <w:rPr>
          <w:rFonts w:ascii="Times New Roman" w:hAnsi="Times New Roman" w:cs="Times New Roman"/>
          <w:sz w:val="32"/>
          <w:szCs w:val="32"/>
        </w:rPr>
      </w:pPr>
      <w:r w:rsidRPr="00FB2CC2">
        <w:rPr>
          <w:rFonts w:ascii="Times New Roman" w:hAnsi="Times New Roman" w:cs="Times New Roman"/>
          <w:sz w:val="32"/>
          <w:szCs w:val="32"/>
        </w:rPr>
        <w:t xml:space="preserve">This fully integrated technical due diligence document is designed to collect comprehensive information on </w:t>
      </w:r>
      <w:r w:rsidR="004E7A95" w:rsidRPr="00FB2CC2">
        <w:rPr>
          <w:rFonts w:ascii="Times New Roman" w:hAnsi="Times New Roman" w:cs="Times New Roman"/>
          <w:sz w:val="32"/>
          <w:szCs w:val="32"/>
        </w:rPr>
        <w:t>a specific</w:t>
      </w:r>
      <w:r w:rsidRPr="00FB2CC2">
        <w:rPr>
          <w:rFonts w:ascii="Times New Roman" w:hAnsi="Times New Roman" w:cs="Times New Roman"/>
          <w:sz w:val="32"/>
          <w:szCs w:val="32"/>
        </w:rPr>
        <w:t xml:space="preserve"> </w:t>
      </w:r>
      <w:r w:rsidR="00EF0A8D" w:rsidRPr="00FB2CC2">
        <w:rPr>
          <w:rFonts w:ascii="Times New Roman" w:hAnsi="Times New Roman" w:cs="Times New Roman"/>
          <w:b/>
          <w:bCs/>
          <w:sz w:val="32"/>
          <w:szCs w:val="32"/>
        </w:rPr>
        <w:t>DARK DATA COMPANY LTD</w:t>
      </w:r>
      <w:r w:rsidRPr="00FB2CC2">
        <w:rPr>
          <w:rFonts w:ascii="Times New Roman" w:hAnsi="Times New Roman" w:cs="Times New Roman"/>
          <w:b/>
          <w:bCs/>
          <w:sz w:val="32"/>
          <w:szCs w:val="32"/>
        </w:rPr>
        <w:t xml:space="preserve"> </w:t>
      </w:r>
      <w:r w:rsidRPr="00FB2CC2">
        <w:rPr>
          <w:rFonts w:ascii="Times New Roman" w:hAnsi="Times New Roman" w:cs="Times New Roman"/>
          <w:sz w:val="32"/>
          <w:szCs w:val="32"/>
        </w:rPr>
        <w:t xml:space="preserve">project. It ensures that </w:t>
      </w:r>
      <w:r w:rsidR="004E7A95" w:rsidRPr="00FB2CC2">
        <w:rPr>
          <w:rFonts w:ascii="Times New Roman" w:hAnsi="Times New Roman" w:cs="Times New Roman"/>
          <w:sz w:val="32"/>
          <w:szCs w:val="32"/>
        </w:rPr>
        <w:t>the</w:t>
      </w:r>
      <w:r w:rsidRPr="00FB2CC2">
        <w:rPr>
          <w:rFonts w:ascii="Times New Roman" w:hAnsi="Times New Roman" w:cs="Times New Roman"/>
          <w:sz w:val="32"/>
          <w:szCs w:val="32"/>
        </w:rPr>
        <w:t xml:space="preserve"> project is fully documented from inception, allowing efficient institutional-grade capital market financing, insurability, long-term operational management, and future securitization execution.</w:t>
      </w:r>
      <w:r w:rsidRPr="00FB2CC2">
        <w:rPr>
          <w:rFonts w:ascii="Times New Roman" w:hAnsi="Times New Roman" w:cs="Times New Roman"/>
          <w:sz w:val="32"/>
          <w:szCs w:val="32"/>
        </w:rPr>
        <w:br/>
      </w:r>
      <w:r w:rsidRPr="00FB2CC2">
        <w:rPr>
          <w:rFonts w:ascii="Times New Roman" w:hAnsi="Times New Roman" w:cs="Times New Roman"/>
          <w:sz w:val="32"/>
          <w:szCs w:val="32"/>
        </w:rPr>
        <w:br/>
        <w:t xml:space="preserve">This template </w:t>
      </w:r>
      <w:r w:rsidR="004E7A95" w:rsidRPr="00FB2CC2">
        <w:rPr>
          <w:rFonts w:ascii="Times New Roman" w:hAnsi="Times New Roman" w:cs="Times New Roman"/>
          <w:sz w:val="32"/>
          <w:szCs w:val="32"/>
        </w:rPr>
        <w:t>is to be applied to all</w:t>
      </w:r>
      <w:r w:rsidRPr="00FB2CC2">
        <w:rPr>
          <w:rFonts w:ascii="Times New Roman" w:hAnsi="Times New Roman" w:cs="Times New Roman"/>
          <w:sz w:val="32"/>
          <w:szCs w:val="32"/>
        </w:rPr>
        <w:t xml:space="preserve"> </w:t>
      </w:r>
      <w:r w:rsidR="00EF0A8D" w:rsidRPr="00FB2CC2">
        <w:rPr>
          <w:rFonts w:ascii="Times New Roman" w:hAnsi="Times New Roman" w:cs="Times New Roman"/>
          <w:b/>
          <w:bCs/>
          <w:sz w:val="32"/>
          <w:szCs w:val="32"/>
        </w:rPr>
        <w:t>DARK DATA COMPANY LTD</w:t>
      </w:r>
      <w:r w:rsidRPr="00FB2CC2">
        <w:rPr>
          <w:rFonts w:ascii="Times New Roman" w:hAnsi="Times New Roman" w:cs="Times New Roman"/>
          <w:sz w:val="32"/>
          <w:szCs w:val="32"/>
        </w:rPr>
        <w:t xml:space="preserve"> projects globally, including </w:t>
      </w:r>
      <w:r w:rsidR="004E7A95" w:rsidRPr="00FB2CC2">
        <w:rPr>
          <w:rFonts w:ascii="Times New Roman" w:hAnsi="Times New Roman" w:cs="Times New Roman"/>
          <w:sz w:val="32"/>
          <w:szCs w:val="32"/>
        </w:rPr>
        <w:t xml:space="preserve">all </w:t>
      </w:r>
      <w:r w:rsidRPr="00FB2CC2">
        <w:rPr>
          <w:rFonts w:ascii="Times New Roman" w:hAnsi="Times New Roman" w:cs="Times New Roman"/>
          <w:sz w:val="32"/>
          <w:szCs w:val="32"/>
        </w:rPr>
        <w:t>future assets.</w:t>
      </w:r>
    </w:p>
    <w:p w14:paraId="4FC09EFF" w14:textId="77777777" w:rsidR="00F31B71" w:rsidRPr="00FB2CC2" w:rsidRDefault="00F31B71" w:rsidP="005A7A10">
      <w:pPr>
        <w:rPr>
          <w:rFonts w:ascii="Times New Roman" w:hAnsi="Times New Roman" w:cs="Times New Roman"/>
          <w:sz w:val="32"/>
          <w:szCs w:val="32"/>
        </w:rPr>
      </w:pPr>
    </w:p>
    <w:p w14:paraId="469A703C" w14:textId="77777777" w:rsidR="00F31B71" w:rsidRPr="00FB2CC2" w:rsidRDefault="00F31B71" w:rsidP="005A7A10">
      <w:pPr>
        <w:rPr>
          <w:rFonts w:ascii="Times New Roman" w:hAnsi="Times New Roman" w:cs="Times New Roman"/>
          <w:sz w:val="32"/>
          <w:szCs w:val="32"/>
        </w:rPr>
      </w:pPr>
    </w:p>
    <w:p w14:paraId="314FA826" w14:textId="7529A88A" w:rsidR="00F31B71" w:rsidRPr="00FB2CC2" w:rsidRDefault="00F31B71" w:rsidP="005A7A10">
      <w:pPr>
        <w:rPr>
          <w:rFonts w:ascii="Times New Roman" w:hAnsi="Times New Roman" w:cs="Times New Roman"/>
          <w:color w:val="EE0000"/>
          <w:sz w:val="160"/>
          <w:szCs w:val="160"/>
        </w:rPr>
      </w:pPr>
    </w:p>
    <w:p w14:paraId="10CEEA57" w14:textId="77777777" w:rsidR="00F31B71" w:rsidRPr="00FB2CC2" w:rsidRDefault="00F31B71" w:rsidP="005A7A10">
      <w:pPr>
        <w:rPr>
          <w:rFonts w:ascii="Times New Roman" w:hAnsi="Times New Roman" w:cs="Times New Roman"/>
          <w:sz w:val="32"/>
          <w:szCs w:val="32"/>
        </w:rPr>
      </w:pPr>
    </w:p>
    <w:p w14:paraId="515612CD" w14:textId="77777777" w:rsidR="00F31B71" w:rsidRPr="00FB2CC2" w:rsidRDefault="00F31B71" w:rsidP="005A7A10">
      <w:pPr>
        <w:rPr>
          <w:rFonts w:ascii="Times New Roman" w:hAnsi="Times New Roman" w:cs="Times New Roman"/>
          <w:sz w:val="32"/>
          <w:szCs w:val="32"/>
        </w:rPr>
      </w:pPr>
    </w:p>
    <w:p w14:paraId="46128AC5" w14:textId="77777777" w:rsidR="00F31B71" w:rsidRPr="00FB2CC2" w:rsidRDefault="00F31B71" w:rsidP="005A7A10">
      <w:pPr>
        <w:rPr>
          <w:rFonts w:ascii="Times New Roman" w:hAnsi="Times New Roman" w:cs="Times New Roman"/>
          <w:sz w:val="32"/>
          <w:szCs w:val="32"/>
        </w:rPr>
      </w:pPr>
    </w:p>
    <w:p w14:paraId="4A5BA6C4" w14:textId="77777777" w:rsidR="00F524E4" w:rsidRPr="00FB2CC2" w:rsidRDefault="00F524E4" w:rsidP="005A7A10">
      <w:pPr>
        <w:rPr>
          <w:rFonts w:ascii="Times New Roman" w:hAnsi="Times New Roman" w:cs="Times New Roman"/>
          <w:sz w:val="32"/>
          <w:szCs w:val="32"/>
        </w:rPr>
      </w:pPr>
    </w:p>
    <w:p w14:paraId="169E3B42" w14:textId="77777777" w:rsidR="003E1B6B" w:rsidRPr="00FB2CC2" w:rsidRDefault="003E1B6B" w:rsidP="005A7A10">
      <w:pPr>
        <w:rPr>
          <w:rFonts w:ascii="Times New Roman" w:hAnsi="Times New Roman" w:cs="Times New Roman"/>
          <w:sz w:val="32"/>
          <w:szCs w:val="32"/>
        </w:rPr>
      </w:pPr>
    </w:p>
    <w:p w14:paraId="543B39F6" w14:textId="70DC5548" w:rsidR="005A7A10" w:rsidRPr="00FB2CC2" w:rsidRDefault="005A7A10" w:rsidP="005A7A10">
      <w:pPr>
        <w:rPr>
          <w:rFonts w:ascii="Times New Roman" w:eastAsiaTheme="majorEastAsia" w:hAnsi="Times New Roman" w:cs="Times New Roman"/>
          <w:b/>
          <w:bCs/>
          <w:sz w:val="32"/>
          <w:szCs w:val="32"/>
          <w:lang w:val="en-GB"/>
        </w:rPr>
      </w:pPr>
      <w:r w:rsidRPr="00FB2CC2">
        <w:rPr>
          <w:rFonts w:ascii="Times New Roman" w:eastAsiaTheme="majorEastAsia" w:hAnsi="Times New Roman" w:cs="Times New Roman"/>
          <w:b/>
          <w:bCs/>
          <w:sz w:val="32"/>
          <w:szCs w:val="32"/>
          <w:lang w:val="en-GB"/>
        </w:rPr>
        <w:lastRenderedPageBreak/>
        <w:t>Confidential Information Notice</w:t>
      </w:r>
    </w:p>
    <w:p w14:paraId="2E418951" w14:textId="77777777" w:rsidR="00857F0F" w:rsidRPr="00FB2CC2" w:rsidRDefault="00857F0F" w:rsidP="00857F0F">
      <w:pPr>
        <w:rPr>
          <w:rFonts w:ascii="Times New Roman" w:eastAsiaTheme="majorEastAsia" w:hAnsi="Times New Roman" w:cs="Times New Roman"/>
          <w:b/>
          <w:bCs/>
          <w:sz w:val="32"/>
          <w:szCs w:val="32"/>
          <w:lang w:val="en-GB"/>
        </w:rPr>
      </w:pPr>
      <w:r w:rsidRPr="00FB2CC2">
        <w:rPr>
          <w:rFonts w:ascii="Times New Roman" w:eastAsiaTheme="majorEastAsia" w:hAnsi="Times New Roman" w:cs="Times New Roman"/>
          <w:b/>
          <w:bCs/>
          <w:sz w:val="32"/>
          <w:szCs w:val="32"/>
          <w:lang w:val="en-GB"/>
        </w:rPr>
        <w:t>STRICTLY CONFIDENTIAL — CONTROLLED DUE DILIGENCE DOCUMENT</w:t>
      </w:r>
    </w:p>
    <w:p w14:paraId="233DBD9F" w14:textId="7C1A70D6" w:rsidR="00857F0F" w:rsidRPr="00FB2CC2" w:rsidRDefault="00857F0F" w:rsidP="00857F0F">
      <w:pPr>
        <w:rPr>
          <w:rFonts w:ascii="Times New Roman" w:eastAsiaTheme="majorEastAsia" w:hAnsi="Times New Roman" w:cs="Times New Roman"/>
          <w:sz w:val="32"/>
          <w:szCs w:val="32"/>
          <w:lang w:val="en-GB"/>
        </w:rPr>
      </w:pPr>
      <w:r w:rsidRPr="00FB2CC2">
        <w:rPr>
          <w:rFonts w:ascii="Times New Roman" w:eastAsiaTheme="majorEastAsia" w:hAnsi="Times New Roman" w:cs="Times New Roman"/>
          <w:sz w:val="32"/>
          <w:szCs w:val="32"/>
          <w:lang w:val="en-GB"/>
        </w:rPr>
        <w:t xml:space="preserve">This document has been prepared by Red AMC and TBC (“Diligence Coordinators”) for use by </w:t>
      </w:r>
      <w:r w:rsidR="00EF0A8D" w:rsidRPr="00FB2CC2">
        <w:rPr>
          <w:rFonts w:ascii="Times New Roman" w:eastAsiaTheme="majorEastAsia" w:hAnsi="Times New Roman" w:cs="Times New Roman"/>
          <w:sz w:val="32"/>
          <w:szCs w:val="32"/>
          <w:lang w:val="en-GB"/>
        </w:rPr>
        <w:t>DARK DATA COMPANY LTD</w:t>
      </w:r>
      <w:r w:rsidRPr="00FB2CC2">
        <w:rPr>
          <w:rFonts w:ascii="Times New Roman" w:eastAsiaTheme="majorEastAsia" w:hAnsi="Times New Roman" w:cs="Times New Roman"/>
          <w:sz w:val="32"/>
          <w:szCs w:val="32"/>
          <w:lang w:val="en-GB"/>
        </w:rPr>
        <w:t xml:space="preserve"> (“Project Sponsor Client”) solely in connection with the structured data collection and technical diligence processes managed by Red AMC and TBC for project evaluation, institutional risk assessment, transaction preparation, and long-term development documentation.</w:t>
      </w:r>
    </w:p>
    <w:p w14:paraId="12A04465" w14:textId="082C7DA3" w:rsidR="00857F0F" w:rsidRPr="00FB2CC2" w:rsidRDefault="00857F0F" w:rsidP="00857F0F">
      <w:pPr>
        <w:rPr>
          <w:rFonts w:ascii="Times New Roman" w:eastAsiaTheme="majorEastAsia" w:hAnsi="Times New Roman" w:cs="Times New Roman"/>
          <w:sz w:val="32"/>
          <w:szCs w:val="32"/>
          <w:lang w:val="en-GB"/>
        </w:rPr>
      </w:pPr>
      <w:r w:rsidRPr="00FB2CC2">
        <w:rPr>
          <w:rFonts w:ascii="Times New Roman" w:eastAsiaTheme="majorEastAsia" w:hAnsi="Times New Roman" w:cs="Times New Roman"/>
          <w:sz w:val="32"/>
          <w:szCs w:val="32"/>
          <w:lang w:val="en-GB"/>
        </w:rPr>
        <w:t xml:space="preserve">All content contained herein is provided for internal due diligence purposes only. This document remains the exclusive intellectual property of Red AMC and TBC. </w:t>
      </w:r>
      <w:r w:rsidR="00EF0A8D" w:rsidRPr="00FB2CC2">
        <w:rPr>
          <w:rFonts w:ascii="Times New Roman" w:eastAsiaTheme="majorEastAsia" w:hAnsi="Times New Roman" w:cs="Times New Roman"/>
          <w:sz w:val="32"/>
          <w:szCs w:val="32"/>
          <w:lang w:val="en-GB"/>
        </w:rPr>
        <w:t>DARK DATA COMPANY LTD</w:t>
      </w:r>
      <w:r w:rsidRPr="00FB2CC2">
        <w:rPr>
          <w:rFonts w:ascii="Times New Roman" w:eastAsiaTheme="majorEastAsia" w:hAnsi="Times New Roman" w:cs="Times New Roman"/>
          <w:sz w:val="32"/>
          <w:szCs w:val="32"/>
          <w:lang w:val="en-GB"/>
        </w:rPr>
        <w:t xml:space="preserve"> is authorised solely to submit requested information into this document for internal assessment. </w:t>
      </w:r>
      <w:r w:rsidR="00EF0A8D" w:rsidRPr="00FB2CC2">
        <w:rPr>
          <w:rFonts w:ascii="Times New Roman" w:eastAsiaTheme="majorEastAsia" w:hAnsi="Times New Roman" w:cs="Times New Roman"/>
          <w:sz w:val="32"/>
          <w:szCs w:val="32"/>
          <w:lang w:val="en-GB"/>
        </w:rPr>
        <w:t>DARK DATA COMPANY LTD</w:t>
      </w:r>
      <w:r w:rsidRPr="00FB2CC2">
        <w:rPr>
          <w:rFonts w:ascii="Times New Roman" w:eastAsiaTheme="majorEastAsia" w:hAnsi="Times New Roman" w:cs="Times New Roman"/>
          <w:sz w:val="32"/>
          <w:szCs w:val="32"/>
          <w:lang w:val="en-GB"/>
        </w:rPr>
        <w:t xml:space="preserve"> and its affiliates are not authorised to distribute, circulate, reproduce, modify, or utilise this document in any external context, nor shall it form part of any external financing or transaction documentation unless specifically authorised in writing.</w:t>
      </w:r>
    </w:p>
    <w:p w14:paraId="296CA30C" w14:textId="77777777" w:rsidR="00857F0F" w:rsidRPr="00FB2CC2" w:rsidRDefault="00857F0F" w:rsidP="00857F0F">
      <w:pPr>
        <w:rPr>
          <w:rFonts w:ascii="Times New Roman" w:eastAsiaTheme="majorEastAsia" w:hAnsi="Times New Roman" w:cs="Times New Roman"/>
          <w:sz w:val="32"/>
          <w:szCs w:val="32"/>
          <w:lang w:val="en-GB"/>
        </w:rPr>
      </w:pPr>
      <w:r w:rsidRPr="00FB2CC2">
        <w:rPr>
          <w:rFonts w:ascii="Times New Roman" w:eastAsiaTheme="majorEastAsia" w:hAnsi="Times New Roman" w:cs="Times New Roman"/>
          <w:sz w:val="32"/>
          <w:szCs w:val="32"/>
          <w:lang w:val="en-GB"/>
        </w:rPr>
        <w:t>This document does not constitute any offer of securities, investment solicitation, financing commitment, or legal obligation of any kind. All information collected remains subject to formal legal due diligence, verification, and fully executed legal documentation prior to any binding contractual arrangements.</w:t>
      </w:r>
    </w:p>
    <w:p w14:paraId="76557EE4" w14:textId="39198924" w:rsidR="004E7A95" w:rsidRPr="00FB2CC2" w:rsidRDefault="00051035" w:rsidP="00420E31">
      <w:pPr>
        <w:rPr>
          <w:rFonts w:ascii="Times New Roman" w:eastAsiaTheme="majorEastAsia" w:hAnsi="Times New Roman" w:cs="Times New Roman"/>
          <w:sz w:val="32"/>
          <w:szCs w:val="32"/>
          <w:lang w:val="en-GB"/>
        </w:rPr>
      </w:pPr>
      <w:r w:rsidRPr="00FB2CC2">
        <w:rPr>
          <w:rFonts w:ascii="Times New Roman" w:eastAsiaTheme="majorEastAsia" w:hAnsi="Times New Roman" w:cs="Times New Roman"/>
          <w:b/>
          <w:bCs/>
          <w:sz w:val="32"/>
          <w:szCs w:val="32"/>
          <w:lang w:val="en-GB"/>
        </w:rPr>
        <w:t>Strictly Confidential — Controlled Use Only</w:t>
      </w:r>
    </w:p>
    <w:p w14:paraId="46D5C22D" w14:textId="1ED398F7" w:rsidR="005A7A10" w:rsidRPr="00FB2CC2" w:rsidRDefault="005A7A10" w:rsidP="005A7A10">
      <w:pPr>
        <w:rPr>
          <w:rFonts w:ascii="Times New Roman" w:eastAsiaTheme="majorEastAsia" w:hAnsi="Times New Roman" w:cs="Times New Roman"/>
          <w:sz w:val="32"/>
          <w:szCs w:val="32"/>
          <w:lang w:val="en-GB"/>
        </w:rPr>
      </w:pPr>
      <w:r w:rsidRPr="00FB2CC2">
        <w:rPr>
          <w:rFonts w:ascii="Times New Roman" w:eastAsiaTheme="majorEastAsia" w:hAnsi="Times New Roman" w:cs="Times New Roman"/>
          <w:b/>
          <w:bCs/>
          <w:sz w:val="32"/>
          <w:szCs w:val="32"/>
          <w:lang w:val="en-GB"/>
        </w:rPr>
        <w:lastRenderedPageBreak/>
        <w:t>This document is confidential. It shall not be used for any purpose other than for submission to Red AMC and TBC for institutional preparation.</w:t>
      </w:r>
    </w:p>
    <w:p w14:paraId="436FB559" w14:textId="4C691E07" w:rsidR="00F31B71" w:rsidRPr="00FB2CC2" w:rsidRDefault="005A7A10" w:rsidP="005A7A10">
      <w:pPr>
        <w:pStyle w:val="Heading1"/>
        <w:rPr>
          <w:rFonts w:ascii="Times New Roman" w:hAnsi="Times New Roman" w:cs="Times New Roman"/>
          <w:color w:val="auto"/>
          <w:sz w:val="32"/>
          <w:szCs w:val="32"/>
          <w:lang w:val="en-GB"/>
        </w:rPr>
      </w:pPr>
      <w:r w:rsidRPr="00FB2CC2">
        <w:rPr>
          <w:rFonts w:ascii="Times New Roman" w:hAnsi="Times New Roman" w:cs="Times New Roman"/>
          <w:color w:val="auto"/>
          <w:sz w:val="32"/>
          <w:szCs w:val="32"/>
          <w:lang w:val="en-GB"/>
        </w:rPr>
        <w:t>Document Access Control Register</w:t>
      </w:r>
      <w:r w:rsidR="00F31B71" w:rsidRPr="00FB2CC2">
        <w:rPr>
          <w:rFonts w:ascii="Times New Roman" w:hAnsi="Times New Roman" w:cs="Times New Roman"/>
          <w:color w:val="auto"/>
          <w:sz w:val="32"/>
          <w:szCs w:val="32"/>
          <w:lang w:val="en-GB"/>
        </w:rPr>
        <w:t>:</w:t>
      </w:r>
    </w:p>
    <w:p w14:paraId="04339FBC" w14:textId="7B9E75E6" w:rsidR="005A7A10" w:rsidRPr="00FB2CC2" w:rsidRDefault="005A7A10" w:rsidP="005A7A10">
      <w:pPr>
        <w:pStyle w:val="Heading1"/>
        <w:rPr>
          <w:rFonts w:ascii="Times New Roman" w:hAnsi="Times New Roman" w:cs="Times New Roman"/>
          <w:color w:val="auto"/>
          <w:sz w:val="32"/>
          <w:szCs w:val="32"/>
          <w:lang w:val="en-GB"/>
        </w:rPr>
      </w:pPr>
      <w:r w:rsidRPr="00FB2CC2">
        <w:rPr>
          <w:rFonts w:ascii="Times New Roman" w:hAnsi="Times New Roman" w:cs="Times New Roman"/>
          <w:b w:val="0"/>
          <w:bCs w:val="0"/>
          <w:color w:val="auto"/>
          <w:sz w:val="32"/>
          <w:szCs w:val="32"/>
          <w:lang w:val="en-GB"/>
        </w:rPr>
        <w:t>The circulation of this document is restricted to the following authorised individuals as of 23/06/2025</w:t>
      </w:r>
      <w:r w:rsidR="00F31B71" w:rsidRPr="00FB2CC2">
        <w:rPr>
          <w:rFonts w:ascii="Times New Roman" w:hAnsi="Times New Roman" w:cs="Times New Roman"/>
          <w:b w:val="0"/>
          <w:bCs w:val="0"/>
          <w:color w:val="auto"/>
          <w:sz w:val="32"/>
          <w:szCs w:val="32"/>
          <w:lang w:val="en-GB"/>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8"/>
        <w:gridCol w:w="2120"/>
        <w:gridCol w:w="4062"/>
      </w:tblGrid>
      <w:tr w:rsidR="005A7A10" w:rsidRPr="00FB2CC2" w14:paraId="1BDD68EB" w14:textId="77777777" w:rsidTr="006A5E3B">
        <w:trPr>
          <w:tblHeader/>
          <w:tblCellSpacing w:w="15" w:type="dxa"/>
        </w:trPr>
        <w:tc>
          <w:tcPr>
            <w:tcW w:w="2420" w:type="dxa"/>
            <w:tcBorders>
              <w:top w:val="single" w:sz="4" w:space="0" w:color="auto"/>
              <w:left w:val="single" w:sz="4" w:space="0" w:color="auto"/>
            </w:tcBorders>
            <w:vAlign w:val="center"/>
            <w:hideMark/>
          </w:tcPr>
          <w:p w14:paraId="4B83B44E" w14:textId="77777777" w:rsidR="005A7A10" w:rsidRPr="00FB2CC2" w:rsidRDefault="005A7A10" w:rsidP="006A5E3B">
            <w:pPr>
              <w:pStyle w:val="Heading1"/>
              <w:rPr>
                <w:rFonts w:ascii="Times New Roman" w:hAnsi="Times New Roman" w:cs="Times New Roman"/>
                <w:color w:val="auto"/>
                <w:sz w:val="32"/>
                <w:szCs w:val="32"/>
                <w:u w:val="single"/>
                <w:lang w:val="en-GB"/>
              </w:rPr>
            </w:pPr>
            <w:r w:rsidRPr="00FB2CC2">
              <w:rPr>
                <w:rFonts w:ascii="Times New Roman" w:hAnsi="Times New Roman" w:cs="Times New Roman"/>
                <w:color w:val="auto"/>
                <w:sz w:val="32"/>
                <w:szCs w:val="32"/>
                <w:u w:val="single"/>
                <w:lang w:val="en-GB"/>
              </w:rPr>
              <w:t>Name</w:t>
            </w:r>
          </w:p>
        </w:tc>
        <w:tc>
          <w:tcPr>
            <w:tcW w:w="2096" w:type="dxa"/>
            <w:tcBorders>
              <w:top w:val="single" w:sz="4" w:space="0" w:color="auto"/>
            </w:tcBorders>
            <w:vAlign w:val="center"/>
            <w:hideMark/>
          </w:tcPr>
          <w:p w14:paraId="16A8F958" w14:textId="77777777" w:rsidR="005A7A10" w:rsidRPr="00FB2CC2" w:rsidRDefault="005A7A10" w:rsidP="006A5E3B">
            <w:pPr>
              <w:pStyle w:val="Heading1"/>
              <w:rPr>
                <w:rFonts w:ascii="Times New Roman" w:hAnsi="Times New Roman" w:cs="Times New Roman"/>
                <w:color w:val="auto"/>
                <w:sz w:val="32"/>
                <w:szCs w:val="32"/>
                <w:u w:val="single"/>
                <w:lang w:val="en-GB"/>
              </w:rPr>
            </w:pPr>
            <w:r w:rsidRPr="00FB2CC2">
              <w:rPr>
                <w:rFonts w:ascii="Times New Roman" w:hAnsi="Times New Roman" w:cs="Times New Roman"/>
                <w:color w:val="auto"/>
                <w:sz w:val="32"/>
                <w:szCs w:val="32"/>
                <w:u w:val="single"/>
                <w:lang w:val="en-GB"/>
              </w:rPr>
              <w:t>Organisation</w:t>
            </w:r>
          </w:p>
        </w:tc>
        <w:tc>
          <w:tcPr>
            <w:tcW w:w="4066" w:type="dxa"/>
            <w:tcBorders>
              <w:top w:val="single" w:sz="4" w:space="0" w:color="auto"/>
              <w:right w:val="single" w:sz="4" w:space="0" w:color="auto"/>
            </w:tcBorders>
            <w:vAlign w:val="center"/>
            <w:hideMark/>
          </w:tcPr>
          <w:p w14:paraId="6B7252BF" w14:textId="77777777" w:rsidR="005A7A10" w:rsidRPr="00FB2CC2" w:rsidRDefault="005A7A10" w:rsidP="006A5E3B">
            <w:pPr>
              <w:pStyle w:val="Heading1"/>
              <w:rPr>
                <w:rFonts w:ascii="Times New Roman" w:hAnsi="Times New Roman" w:cs="Times New Roman"/>
                <w:color w:val="auto"/>
                <w:sz w:val="32"/>
                <w:szCs w:val="32"/>
                <w:u w:val="single"/>
                <w:lang w:val="en-GB"/>
              </w:rPr>
            </w:pPr>
            <w:r w:rsidRPr="00FB2CC2">
              <w:rPr>
                <w:rFonts w:ascii="Times New Roman" w:hAnsi="Times New Roman" w:cs="Times New Roman"/>
                <w:color w:val="auto"/>
                <w:sz w:val="32"/>
                <w:szCs w:val="32"/>
                <w:u w:val="single"/>
                <w:lang w:val="en-GB"/>
              </w:rPr>
              <w:t>Role</w:t>
            </w:r>
          </w:p>
        </w:tc>
      </w:tr>
      <w:tr w:rsidR="005A7A10" w:rsidRPr="00FB2CC2" w14:paraId="66E4520F" w14:textId="77777777" w:rsidTr="006A5E3B">
        <w:trPr>
          <w:tblCellSpacing w:w="15" w:type="dxa"/>
        </w:trPr>
        <w:tc>
          <w:tcPr>
            <w:tcW w:w="2420" w:type="dxa"/>
            <w:tcBorders>
              <w:top w:val="single" w:sz="4" w:space="0" w:color="auto"/>
              <w:left w:val="single" w:sz="4" w:space="0" w:color="auto"/>
              <w:bottom w:val="single" w:sz="4" w:space="0" w:color="auto"/>
              <w:right w:val="single" w:sz="4" w:space="0" w:color="auto"/>
            </w:tcBorders>
            <w:vAlign w:val="center"/>
            <w:hideMark/>
          </w:tcPr>
          <w:p w14:paraId="180EB8D8" w14:textId="77777777" w:rsidR="005A7A10" w:rsidRPr="00FB2CC2" w:rsidRDefault="005A7A10" w:rsidP="006A5E3B">
            <w:pPr>
              <w:pStyle w:val="Heading1"/>
              <w:rPr>
                <w:rFonts w:ascii="Times New Roman" w:hAnsi="Times New Roman" w:cs="Times New Roman"/>
                <w:color w:val="auto"/>
                <w:sz w:val="32"/>
                <w:szCs w:val="32"/>
                <w:lang w:val="en-GB"/>
              </w:rPr>
            </w:pPr>
            <w:r w:rsidRPr="00FB2CC2">
              <w:rPr>
                <w:rFonts w:ascii="Times New Roman" w:hAnsi="Times New Roman" w:cs="Times New Roman"/>
                <w:color w:val="auto"/>
                <w:sz w:val="32"/>
                <w:szCs w:val="32"/>
                <w:lang w:val="en-GB"/>
              </w:rPr>
              <w:t>Marcus Moore</w:t>
            </w:r>
          </w:p>
        </w:tc>
        <w:tc>
          <w:tcPr>
            <w:tcW w:w="2096" w:type="dxa"/>
            <w:tcBorders>
              <w:top w:val="single" w:sz="4" w:space="0" w:color="auto"/>
              <w:left w:val="single" w:sz="4" w:space="0" w:color="auto"/>
              <w:bottom w:val="single" w:sz="4" w:space="0" w:color="auto"/>
              <w:right w:val="single" w:sz="4" w:space="0" w:color="auto"/>
            </w:tcBorders>
            <w:vAlign w:val="center"/>
            <w:hideMark/>
          </w:tcPr>
          <w:p w14:paraId="07D5F629" w14:textId="77777777" w:rsidR="005A7A10" w:rsidRPr="00FB2CC2" w:rsidRDefault="005A7A10" w:rsidP="006A5E3B">
            <w:pPr>
              <w:pStyle w:val="Heading1"/>
              <w:rPr>
                <w:rFonts w:ascii="Times New Roman" w:hAnsi="Times New Roman" w:cs="Times New Roman"/>
                <w:color w:val="auto"/>
                <w:sz w:val="32"/>
                <w:szCs w:val="32"/>
                <w:lang w:val="en-GB"/>
              </w:rPr>
            </w:pPr>
            <w:r w:rsidRPr="00FB2CC2">
              <w:rPr>
                <w:rFonts w:ascii="Times New Roman" w:hAnsi="Times New Roman" w:cs="Times New Roman"/>
                <w:color w:val="auto"/>
                <w:sz w:val="32"/>
                <w:szCs w:val="32"/>
                <w:lang w:val="en-GB"/>
              </w:rPr>
              <w:t>TBC</w:t>
            </w:r>
          </w:p>
        </w:tc>
        <w:tc>
          <w:tcPr>
            <w:tcW w:w="4066" w:type="dxa"/>
            <w:tcBorders>
              <w:top w:val="single" w:sz="4" w:space="0" w:color="auto"/>
              <w:left w:val="single" w:sz="4" w:space="0" w:color="auto"/>
              <w:bottom w:val="single" w:sz="4" w:space="0" w:color="auto"/>
              <w:right w:val="single" w:sz="4" w:space="0" w:color="auto"/>
            </w:tcBorders>
            <w:vAlign w:val="center"/>
            <w:hideMark/>
          </w:tcPr>
          <w:p w14:paraId="36514582" w14:textId="1701F0C6" w:rsidR="005A7A10" w:rsidRPr="00FB2CC2" w:rsidRDefault="005A7A10" w:rsidP="006A5E3B">
            <w:pPr>
              <w:pStyle w:val="Heading1"/>
              <w:rPr>
                <w:rFonts w:ascii="Times New Roman" w:hAnsi="Times New Roman" w:cs="Times New Roman"/>
                <w:color w:val="auto"/>
                <w:sz w:val="32"/>
                <w:szCs w:val="32"/>
                <w:lang w:val="en-GB"/>
              </w:rPr>
            </w:pPr>
            <w:r w:rsidRPr="00FB2CC2">
              <w:rPr>
                <w:rFonts w:ascii="Times New Roman" w:hAnsi="Times New Roman" w:cs="Times New Roman"/>
                <w:color w:val="auto"/>
                <w:sz w:val="32"/>
                <w:szCs w:val="32"/>
                <w:lang w:val="en-GB"/>
              </w:rPr>
              <w:t>Institutional Lead</w:t>
            </w:r>
          </w:p>
        </w:tc>
      </w:tr>
      <w:tr w:rsidR="005A7A10" w:rsidRPr="00FB2CC2" w14:paraId="7EBBDA0D" w14:textId="77777777" w:rsidTr="006A5E3B">
        <w:trPr>
          <w:tblCellSpacing w:w="15" w:type="dxa"/>
        </w:trPr>
        <w:tc>
          <w:tcPr>
            <w:tcW w:w="2420" w:type="dxa"/>
            <w:tcBorders>
              <w:top w:val="single" w:sz="4" w:space="0" w:color="auto"/>
              <w:left w:val="single" w:sz="4" w:space="0" w:color="auto"/>
              <w:bottom w:val="single" w:sz="4" w:space="0" w:color="auto"/>
              <w:right w:val="single" w:sz="4" w:space="0" w:color="auto"/>
            </w:tcBorders>
            <w:vAlign w:val="center"/>
            <w:hideMark/>
          </w:tcPr>
          <w:p w14:paraId="602CEE60" w14:textId="44D42A0A" w:rsidR="005A7A10" w:rsidRPr="00FB2CC2" w:rsidRDefault="005A7A10" w:rsidP="006A5E3B">
            <w:pPr>
              <w:pStyle w:val="Heading1"/>
              <w:rPr>
                <w:rFonts w:ascii="Times New Roman" w:hAnsi="Times New Roman" w:cs="Times New Roman"/>
                <w:color w:val="auto"/>
                <w:sz w:val="32"/>
                <w:szCs w:val="32"/>
                <w:lang w:val="en-GB"/>
              </w:rPr>
            </w:pPr>
            <w:r w:rsidRPr="00FB2CC2">
              <w:rPr>
                <w:rFonts w:ascii="Times New Roman" w:hAnsi="Times New Roman" w:cs="Times New Roman"/>
                <w:color w:val="auto"/>
                <w:sz w:val="32"/>
                <w:szCs w:val="32"/>
                <w:lang w:val="en-GB"/>
              </w:rPr>
              <w:t>Xavier Adam</w:t>
            </w:r>
          </w:p>
        </w:tc>
        <w:tc>
          <w:tcPr>
            <w:tcW w:w="2096" w:type="dxa"/>
            <w:tcBorders>
              <w:top w:val="single" w:sz="4" w:space="0" w:color="auto"/>
              <w:left w:val="single" w:sz="4" w:space="0" w:color="auto"/>
              <w:bottom w:val="single" w:sz="4" w:space="0" w:color="auto"/>
              <w:right w:val="single" w:sz="4" w:space="0" w:color="auto"/>
            </w:tcBorders>
            <w:vAlign w:val="center"/>
            <w:hideMark/>
          </w:tcPr>
          <w:p w14:paraId="36C1CC6A" w14:textId="77777777" w:rsidR="005A7A10" w:rsidRPr="00FB2CC2" w:rsidRDefault="005A7A10" w:rsidP="006A5E3B">
            <w:pPr>
              <w:pStyle w:val="Heading1"/>
              <w:rPr>
                <w:rFonts w:ascii="Times New Roman" w:hAnsi="Times New Roman" w:cs="Times New Roman"/>
                <w:color w:val="auto"/>
                <w:sz w:val="32"/>
                <w:szCs w:val="32"/>
                <w:lang w:val="en-GB"/>
              </w:rPr>
            </w:pPr>
            <w:r w:rsidRPr="00FB2CC2">
              <w:rPr>
                <w:rFonts w:ascii="Times New Roman" w:hAnsi="Times New Roman" w:cs="Times New Roman"/>
                <w:color w:val="auto"/>
                <w:sz w:val="32"/>
                <w:szCs w:val="32"/>
                <w:lang w:val="en-GB"/>
              </w:rPr>
              <w:t>Red AMC</w:t>
            </w:r>
          </w:p>
        </w:tc>
        <w:tc>
          <w:tcPr>
            <w:tcW w:w="4066" w:type="dxa"/>
            <w:tcBorders>
              <w:top w:val="single" w:sz="4" w:space="0" w:color="auto"/>
              <w:left w:val="single" w:sz="4" w:space="0" w:color="auto"/>
              <w:bottom w:val="single" w:sz="4" w:space="0" w:color="auto"/>
              <w:right w:val="single" w:sz="4" w:space="0" w:color="auto"/>
            </w:tcBorders>
            <w:vAlign w:val="center"/>
            <w:hideMark/>
          </w:tcPr>
          <w:p w14:paraId="43CBDBCB" w14:textId="3715FA43" w:rsidR="005A7A10" w:rsidRPr="00FB2CC2" w:rsidRDefault="005A7A10" w:rsidP="006A5E3B">
            <w:pPr>
              <w:pStyle w:val="Heading1"/>
              <w:rPr>
                <w:rFonts w:ascii="Times New Roman" w:hAnsi="Times New Roman" w:cs="Times New Roman"/>
                <w:color w:val="auto"/>
                <w:sz w:val="32"/>
                <w:szCs w:val="32"/>
                <w:lang w:val="en-GB"/>
              </w:rPr>
            </w:pPr>
            <w:r w:rsidRPr="00FB2CC2">
              <w:rPr>
                <w:rFonts w:ascii="Times New Roman" w:hAnsi="Times New Roman" w:cs="Times New Roman"/>
                <w:color w:val="auto"/>
                <w:sz w:val="32"/>
                <w:szCs w:val="32"/>
                <w:lang w:val="en-GB"/>
              </w:rPr>
              <w:t>Institutional Manager</w:t>
            </w:r>
          </w:p>
        </w:tc>
      </w:tr>
      <w:tr w:rsidR="005A7A10" w:rsidRPr="00FB2CC2" w14:paraId="6A190B22" w14:textId="77777777" w:rsidTr="006A5E3B">
        <w:trPr>
          <w:tblCellSpacing w:w="15" w:type="dxa"/>
        </w:trPr>
        <w:tc>
          <w:tcPr>
            <w:tcW w:w="2420" w:type="dxa"/>
            <w:tcBorders>
              <w:top w:val="single" w:sz="4" w:space="0" w:color="auto"/>
              <w:left w:val="single" w:sz="4" w:space="0" w:color="auto"/>
              <w:bottom w:val="single" w:sz="4" w:space="0" w:color="auto"/>
              <w:right w:val="single" w:sz="4" w:space="0" w:color="auto"/>
            </w:tcBorders>
            <w:vAlign w:val="center"/>
            <w:hideMark/>
          </w:tcPr>
          <w:p w14:paraId="07A926BA" w14:textId="77777777" w:rsidR="005A7A10" w:rsidRPr="00FB2CC2" w:rsidRDefault="005A7A10" w:rsidP="006A5E3B">
            <w:pPr>
              <w:pStyle w:val="Heading1"/>
              <w:rPr>
                <w:rFonts w:ascii="Times New Roman" w:hAnsi="Times New Roman" w:cs="Times New Roman"/>
                <w:color w:val="auto"/>
                <w:sz w:val="32"/>
                <w:szCs w:val="32"/>
                <w:lang w:val="en-GB"/>
              </w:rPr>
            </w:pPr>
            <w:r w:rsidRPr="00FB2CC2">
              <w:rPr>
                <w:rFonts w:ascii="Times New Roman" w:hAnsi="Times New Roman" w:cs="Times New Roman"/>
                <w:color w:val="auto"/>
                <w:sz w:val="32"/>
                <w:szCs w:val="32"/>
                <w:lang w:val="en-GB"/>
              </w:rPr>
              <w:t>Nathan McNamara</w:t>
            </w:r>
          </w:p>
        </w:tc>
        <w:tc>
          <w:tcPr>
            <w:tcW w:w="2096" w:type="dxa"/>
            <w:tcBorders>
              <w:top w:val="single" w:sz="4" w:space="0" w:color="auto"/>
              <w:left w:val="single" w:sz="4" w:space="0" w:color="auto"/>
              <w:bottom w:val="single" w:sz="4" w:space="0" w:color="auto"/>
              <w:right w:val="single" w:sz="4" w:space="0" w:color="auto"/>
            </w:tcBorders>
            <w:vAlign w:val="center"/>
            <w:hideMark/>
          </w:tcPr>
          <w:p w14:paraId="7F3F66BD" w14:textId="7FE04560" w:rsidR="005A7A10" w:rsidRPr="00FB2CC2" w:rsidRDefault="00EF0A8D" w:rsidP="006A5E3B">
            <w:pPr>
              <w:pStyle w:val="Heading1"/>
              <w:rPr>
                <w:rFonts w:ascii="Times New Roman" w:hAnsi="Times New Roman" w:cs="Times New Roman"/>
                <w:color w:val="auto"/>
                <w:sz w:val="32"/>
                <w:szCs w:val="32"/>
                <w:lang w:val="en-GB"/>
              </w:rPr>
            </w:pPr>
            <w:r w:rsidRPr="00FB2CC2">
              <w:rPr>
                <w:rFonts w:ascii="Times New Roman" w:hAnsi="Times New Roman" w:cs="Times New Roman"/>
                <w:color w:val="auto"/>
                <w:sz w:val="32"/>
                <w:szCs w:val="32"/>
                <w:lang w:val="en-GB"/>
              </w:rPr>
              <w:t>DARK DATA COMPANY LTD</w:t>
            </w:r>
          </w:p>
        </w:tc>
        <w:tc>
          <w:tcPr>
            <w:tcW w:w="4066" w:type="dxa"/>
            <w:tcBorders>
              <w:top w:val="single" w:sz="4" w:space="0" w:color="auto"/>
              <w:left w:val="single" w:sz="4" w:space="0" w:color="auto"/>
              <w:bottom w:val="single" w:sz="4" w:space="0" w:color="auto"/>
              <w:right w:val="single" w:sz="4" w:space="0" w:color="auto"/>
            </w:tcBorders>
            <w:vAlign w:val="center"/>
            <w:hideMark/>
          </w:tcPr>
          <w:p w14:paraId="3E555134" w14:textId="77777777" w:rsidR="005A7A10" w:rsidRPr="00FB2CC2" w:rsidRDefault="005A7A10" w:rsidP="006A5E3B">
            <w:pPr>
              <w:pStyle w:val="Heading1"/>
              <w:rPr>
                <w:rFonts w:ascii="Times New Roman" w:hAnsi="Times New Roman" w:cs="Times New Roman"/>
                <w:color w:val="auto"/>
                <w:sz w:val="32"/>
                <w:szCs w:val="32"/>
                <w:lang w:val="en-GB"/>
              </w:rPr>
            </w:pPr>
            <w:r w:rsidRPr="00FB2CC2">
              <w:rPr>
                <w:rFonts w:ascii="Times New Roman" w:hAnsi="Times New Roman" w:cs="Times New Roman"/>
                <w:color w:val="auto"/>
                <w:sz w:val="32"/>
                <w:szCs w:val="32"/>
                <w:lang w:val="en-GB"/>
              </w:rPr>
              <w:t>Project Sponsor Client</w:t>
            </w:r>
          </w:p>
        </w:tc>
      </w:tr>
    </w:tbl>
    <w:p w14:paraId="3D6A1A69" w14:textId="2F8CECE7" w:rsidR="005A7A10" w:rsidRPr="00FB2CC2" w:rsidRDefault="005A7A10" w:rsidP="005A7A10">
      <w:pPr>
        <w:pStyle w:val="Heading1"/>
        <w:rPr>
          <w:rFonts w:ascii="Times New Roman" w:hAnsi="Times New Roman" w:cs="Times New Roman"/>
          <w:color w:val="auto"/>
          <w:sz w:val="32"/>
          <w:szCs w:val="32"/>
          <w:lang w:val="en-GB"/>
        </w:rPr>
      </w:pPr>
      <w:r w:rsidRPr="00FB2CC2">
        <w:rPr>
          <w:rFonts w:ascii="Times New Roman" w:hAnsi="Times New Roman" w:cs="Times New Roman"/>
          <w:color w:val="auto"/>
          <w:sz w:val="32"/>
          <w:szCs w:val="32"/>
          <w:lang w:val="en-GB"/>
        </w:rPr>
        <w:t>Document Version Control</w:t>
      </w:r>
      <w:r w:rsidR="00F31B71" w:rsidRPr="00FB2CC2">
        <w:rPr>
          <w:rFonts w:ascii="Times New Roman" w:hAnsi="Times New Roman" w:cs="Times New Roman"/>
          <w:color w:val="auto"/>
          <w:sz w:val="32"/>
          <w:szCs w:val="32"/>
          <w:lang w:val="en-GB"/>
        </w:rPr>
        <w:t>:</w:t>
      </w:r>
    </w:p>
    <w:p w14:paraId="3E05B508" w14:textId="77777777" w:rsidR="00E655C2" w:rsidRPr="00FB2CC2" w:rsidRDefault="00E655C2" w:rsidP="00E655C2">
      <w:pPr>
        <w:rPr>
          <w:rFonts w:ascii="Times New Roman" w:hAnsi="Times New Roman" w:cs="Times New Roman"/>
          <w:sz w:val="32"/>
          <w:szCs w:val="32"/>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3"/>
        <w:gridCol w:w="1984"/>
        <w:gridCol w:w="2127"/>
      </w:tblGrid>
      <w:tr w:rsidR="005A7A10" w:rsidRPr="00FB2CC2" w14:paraId="4D93E583" w14:textId="77777777" w:rsidTr="006A5E3B">
        <w:trPr>
          <w:tblHeader/>
          <w:tblCellSpacing w:w="15" w:type="dxa"/>
        </w:trPr>
        <w:tc>
          <w:tcPr>
            <w:tcW w:w="1418" w:type="dxa"/>
            <w:tcBorders>
              <w:top w:val="single" w:sz="4" w:space="0" w:color="auto"/>
              <w:left w:val="single" w:sz="4" w:space="0" w:color="auto"/>
              <w:bottom w:val="single" w:sz="4" w:space="0" w:color="auto"/>
            </w:tcBorders>
            <w:vAlign w:val="center"/>
            <w:hideMark/>
          </w:tcPr>
          <w:p w14:paraId="2A83FCE5" w14:textId="77777777" w:rsidR="005A7A10" w:rsidRPr="00FB2CC2" w:rsidRDefault="005A7A10" w:rsidP="005A7A10">
            <w:pPr>
              <w:pStyle w:val="Heading1"/>
              <w:rPr>
                <w:rFonts w:ascii="Times New Roman" w:hAnsi="Times New Roman" w:cs="Times New Roman"/>
                <w:color w:val="auto"/>
                <w:sz w:val="32"/>
                <w:szCs w:val="32"/>
                <w:u w:val="single"/>
                <w:lang w:val="en-GB"/>
              </w:rPr>
            </w:pPr>
            <w:r w:rsidRPr="00FB2CC2">
              <w:rPr>
                <w:rFonts w:ascii="Times New Roman" w:hAnsi="Times New Roman" w:cs="Times New Roman"/>
                <w:color w:val="auto"/>
                <w:sz w:val="32"/>
                <w:szCs w:val="32"/>
                <w:u w:val="single"/>
                <w:lang w:val="en-GB"/>
              </w:rPr>
              <w:t>Version</w:t>
            </w:r>
          </w:p>
        </w:tc>
        <w:tc>
          <w:tcPr>
            <w:tcW w:w="1954" w:type="dxa"/>
            <w:tcBorders>
              <w:top w:val="single" w:sz="4" w:space="0" w:color="auto"/>
              <w:bottom w:val="single" w:sz="4" w:space="0" w:color="auto"/>
            </w:tcBorders>
            <w:vAlign w:val="center"/>
            <w:hideMark/>
          </w:tcPr>
          <w:p w14:paraId="2489B35C" w14:textId="77777777" w:rsidR="005A7A10" w:rsidRPr="00FB2CC2" w:rsidRDefault="005A7A10" w:rsidP="005A7A10">
            <w:pPr>
              <w:pStyle w:val="Heading1"/>
              <w:rPr>
                <w:rFonts w:ascii="Times New Roman" w:hAnsi="Times New Roman" w:cs="Times New Roman"/>
                <w:color w:val="auto"/>
                <w:sz w:val="32"/>
                <w:szCs w:val="32"/>
                <w:u w:val="single"/>
                <w:lang w:val="en-GB"/>
              </w:rPr>
            </w:pPr>
            <w:r w:rsidRPr="00FB2CC2">
              <w:rPr>
                <w:rFonts w:ascii="Times New Roman" w:hAnsi="Times New Roman" w:cs="Times New Roman"/>
                <w:color w:val="auto"/>
                <w:sz w:val="32"/>
                <w:szCs w:val="32"/>
                <w:u w:val="single"/>
                <w:lang w:val="en-GB"/>
              </w:rPr>
              <w:t>Date</w:t>
            </w:r>
          </w:p>
        </w:tc>
        <w:tc>
          <w:tcPr>
            <w:tcW w:w="2082" w:type="dxa"/>
            <w:tcBorders>
              <w:top w:val="single" w:sz="4" w:space="0" w:color="auto"/>
              <w:bottom w:val="single" w:sz="4" w:space="0" w:color="auto"/>
              <w:right w:val="single" w:sz="4" w:space="0" w:color="auto"/>
            </w:tcBorders>
            <w:vAlign w:val="center"/>
            <w:hideMark/>
          </w:tcPr>
          <w:p w14:paraId="51B2A5EA" w14:textId="77777777" w:rsidR="005A7A10" w:rsidRPr="00FB2CC2" w:rsidRDefault="005A7A10" w:rsidP="005A7A10">
            <w:pPr>
              <w:pStyle w:val="Heading1"/>
              <w:rPr>
                <w:rFonts w:ascii="Times New Roman" w:hAnsi="Times New Roman" w:cs="Times New Roman"/>
                <w:color w:val="auto"/>
                <w:sz w:val="32"/>
                <w:szCs w:val="32"/>
                <w:u w:val="single"/>
                <w:lang w:val="en-GB"/>
              </w:rPr>
            </w:pPr>
            <w:r w:rsidRPr="00FB2CC2">
              <w:rPr>
                <w:rFonts w:ascii="Times New Roman" w:hAnsi="Times New Roman" w:cs="Times New Roman"/>
                <w:color w:val="auto"/>
                <w:sz w:val="32"/>
                <w:szCs w:val="32"/>
                <w:u w:val="single"/>
                <w:lang w:val="en-GB"/>
              </w:rPr>
              <w:t>Author</w:t>
            </w:r>
          </w:p>
        </w:tc>
      </w:tr>
      <w:tr w:rsidR="005A7A10" w:rsidRPr="00FB2CC2" w14:paraId="0A2BA076" w14:textId="77777777" w:rsidTr="006A5E3B">
        <w:trPr>
          <w:tblCellSpacing w:w="15" w:type="dxa"/>
        </w:trPr>
        <w:tc>
          <w:tcPr>
            <w:tcW w:w="1418" w:type="dxa"/>
            <w:tcBorders>
              <w:top w:val="single" w:sz="4" w:space="0" w:color="auto"/>
              <w:left w:val="single" w:sz="4" w:space="0" w:color="auto"/>
              <w:bottom w:val="single" w:sz="4" w:space="0" w:color="auto"/>
              <w:right w:val="single" w:sz="4" w:space="0" w:color="auto"/>
            </w:tcBorders>
            <w:vAlign w:val="center"/>
            <w:hideMark/>
          </w:tcPr>
          <w:p w14:paraId="3DD8B4D2" w14:textId="2F9DD3EC" w:rsidR="005A7A10" w:rsidRPr="00FB2CC2" w:rsidRDefault="005A7A10" w:rsidP="006A5E3B">
            <w:pPr>
              <w:pStyle w:val="Heading1"/>
              <w:rPr>
                <w:rFonts w:ascii="Times New Roman" w:hAnsi="Times New Roman" w:cs="Times New Roman"/>
                <w:color w:val="auto"/>
                <w:sz w:val="32"/>
                <w:szCs w:val="32"/>
                <w:lang w:val="en-GB"/>
              </w:rPr>
            </w:pPr>
            <w:r w:rsidRPr="00FB2CC2">
              <w:rPr>
                <w:rFonts w:ascii="Times New Roman" w:hAnsi="Times New Roman" w:cs="Times New Roman"/>
                <w:color w:val="auto"/>
                <w:sz w:val="32"/>
                <w:szCs w:val="32"/>
                <w:lang w:val="en-GB"/>
              </w:rPr>
              <w:t>V</w:t>
            </w:r>
            <w:r w:rsidR="006A5E3B" w:rsidRPr="00FB2CC2">
              <w:rPr>
                <w:rFonts w:ascii="Times New Roman" w:hAnsi="Times New Roman" w:cs="Times New Roman"/>
                <w:color w:val="auto"/>
                <w:sz w:val="32"/>
                <w:szCs w:val="32"/>
                <w:lang w:val="en-GB"/>
              </w:rPr>
              <w:t>1.1</w:t>
            </w:r>
          </w:p>
        </w:tc>
        <w:tc>
          <w:tcPr>
            <w:tcW w:w="1954" w:type="dxa"/>
            <w:tcBorders>
              <w:top w:val="single" w:sz="4" w:space="0" w:color="auto"/>
              <w:left w:val="single" w:sz="4" w:space="0" w:color="auto"/>
              <w:bottom w:val="single" w:sz="4" w:space="0" w:color="auto"/>
              <w:right w:val="single" w:sz="4" w:space="0" w:color="auto"/>
            </w:tcBorders>
            <w:vAlign w:val="center"/>
            <w:hideMark/>
          </w:tcPr>
          <w:p w14:paraId="3D9DBB26" w14:textId="04308A4D" w:rsidR="005A7A10" w:rsidRPr="00FB2CC2" w:rsidRDefault="005A7A10" w:rsidP="006A5E3B">
            <w:pPr>
              <w:pStyle w:val="Heading1"/>
              <w:rPr>
                <w:rFonts w:ascii="Times New Roman" w:hAnsi="Times New Roman" w:cs="Times New Roman"/>
                <w:color w:val="auto"/>
                <w:sz w:val="32"/>
                <w:szCs w:val="32"/>
                <w:lang w:val="en-GB"/>
              </w:rPr>
            </w:pPr>
            <w:r w:rsidRPr="00FB2CC2">
              <w:rPr>
                <w:rFonts w:ascii="Times New Roman" w:hAnsi="Times New Roman" w:cs="Times New Roman"/>
                <w:color w:val="auto"/>
                <w:sz w:val="32"/>
                <w:szCs w:val="32"/>
                <w:lang w:val="en-GB"/>
              </w:rPr>
              <w:t>[</w:t>
            </w:r>
            <w:r w:rsidR="006A5E3B" w:rsidRPr="00FB2CC2">
              <w:rPr>
                <w:rFonts w:ascii="Times New Roman" w:hAnsi="Times New Roman" w:cs="Times New Roman"/>
                <w:color w:val="auto"/>
                <w:sz w:val="32"/>
                <w:szCs w:val="32"/>
                <w:lang w:val="en-GB"/>
              </w:rPr>
              <w:t>20/06/2025</w:t>
            </w:r>
            <w:r w:rsidRPr="00FB2CC2">
              <w:rPr>
                <w:rFonts w:ascii="Times New Roman" w:hAnsi="Times New Roman" w:cs="Times New Roman"/>
                <w:color w:val="auto"/>
                <w:sz w:val="32"/>
                <w:szCs w:val="32"/>
                <w:lang w:val="en-GB"/>
              </w:rPr>
              <w:t>]</w:t>
            </w:r>
          </w:p>
        </w:tc>
        <w:tc>
          <w:tcPr>
            <w:tcW w:w="2082" w:type="dxa"/>
            <w:tcBorders>
              <w:top w:val="single" w:sz="4" w:space="0" w:color="auto"/>
              <w:left w:val="single" w:sz="4" w:space="0" w:color="auto"/>
              <w:bottom w:val="single" w:sz="4" w:space="0" w:color="auto"/>
              <w:right w:val="single" w:sz="4" w:space="0" w:color="auto"/>
            </w:tcBorders>
            <w:vAlign w:val="center"/>
            <w:hideMark/>
          </w:tcPr>
          <w:p w14:paraId="672178FE" w14:textId="77777777" w:rsidR="005A7A10" w:rsidRPr="00FB2CC2" w:rsidRDefault="005A7A10" w:rsidP="006A5E3B">
            <w:pPr>
              <w:pStyle w:val="Heading1"/>
              <w:rPr>
                <w:rFonts w:ascii="Times New Roman" w:hAnsi="Times New Roman" w:cs="Times New Roman"/>
                <w:color w:val="auto"/>
                <w:sz w:val="32"/>
                <w:szCs w:val="32"/>
                <w:lang w:val="en-GB"/>
              </w:rPr>
            </w:pPr>
            <w:r w:rsidRPr="00FB2CC2">
              <w:rPr>
                <w:rFonts w:ascii="Times New Roman" w:hAnsi="Times New Roman" w:cs="Times New Roman"/>
                <w:color w:val="auto"/>
                <w:sz w:val="32"/>
                <w:szCs w:val="32"/>
                <w:lang w:val="en-GB"/>
              </w:rPr>
              <w:t>Red AMC &amp; TBC</w:t>
            </w:r>
          </w:p>
        </w:tc>
      </w:tr>
    </w:tbl>
    <w:p w14:paraId="2766D8E0" w14:textId="77777777" w:rsidR="00996FB3" w:rsidRPr="00FB2CC2" w:rsidRDefault="00996FB3">
      <w:pPr>
        <w:rPr>
          <w:rFonts w:ascii="Times New Roman" w:hAnsi="Times New Roman" w:cs="Times New Roman"/>
          <w:sz w:val="32"/>
          <w:szCs w:val="32"/>
        </w:rPr>
      </w:pPr>
    </w:p>
    <w:p w14:paraId="4FFE523F" w14:textId="77777777" w:rsidR="0018730B" w:rsidRPr="00FB2CC2" w:rsidRDefault="0018730B">
      <w:pPr>
        <w:rPr>
          <w:rFonts w:ascii="Times New Roman" w:hAnsi="Times New Roman" w:cs="Times New Roman"/>
          <w:sz w:val="28"/>
          <w:szCs w:val="28"/>
        </w:rPr>
      </w:pPr>
    </w:p>
    <w:p w14:paraId="0B7B4874" w14:textId="77777777" w:rsidR="00F524E4" w:rsidRPr="00FB2CC2" w:rsidRDefault="00F524E4">
      <w:pPr>
        <w:rPr>
          <w:rFonts w:ascii="Times New Roman" w:hAnsi="Times New Roman" w:cs="Times New Roman"/>
          <w:sz w:val="28"/>
          <w:szCs w:val="28"/>
        </w:rPr>
      </w:pPr>
    </w:p>
    <w:p w14:paraId="47007B4A" w14:textId="02EF982B" w:rsidR="0018730B" w:rsidRPr="00FB2CC2" w:rsidRDefault="0018730B" w:rsidP="0018730B">
      <w:pPr>
        <w:pStyle w:val="Heading1"/>
        <w:rPr>
          <w:rFonts w:ascii="Times New Roman" w:hAnsi="Times New Roman" w:cs="Times New Roman"/>
          <w:color w:val="auto"/>
          <w:sz w:val="32"/>
          <w:szCs w:val="32"/>
        </w:rPr>
      </w:pPr>
      <w:r w:rsidRPr="00FB2CC2">
        <w:rPr>
          <w:rFonts w:ascii="Times New Roman" w:hAnsi="Times New Roman" w:cs="Times New Roman"/>
          <w:color w:val="auto"/>
          <w:sz w:val="32"/>
          <w:szCs w:val="32"/>
        </w:rPr>
        <w:t>***** ******** Trust™ — Institutional Client Submission Data Pack (Full Deployment Version)</w:t>
      </w:r>
    </w:p>
    <w:p w14:paraId="6FECCFAD" w14:textId="77777777" w:rsidR="0018730B" w:rsidRPr="00FB2CC2" w:rsidRDefault="0018730B" w:rsidP="0018730B">
      <w:pPr>
        <w:rPr>
          <w:rFonts w:ascii="Times New Roman" w:hAnsi="Times New Roman" w:cs="Times New Roman"/>
        </w:rPr>
      </w:pPr>
    </w:p>
    <w:p w14:paraId="7886A1D1" w14:textId="77777777" w:rsidR="0018730B" w:rsidRPr="00FB2CC2" w:rsidRDefault="0018730B" w:rsidP="0018730B">
      <w:pPr>
        <w:rPr>
          <w:rFonts w:ascii="Times New Roman" w:hAnsi="Times New Roman" w:cs="Times New Roman"/>
          <w:b/>
          <w:bCs/>
          <w:sz w:val="32"/>
          <w:szCs w:val="32"/>
          <w:lang w:val="en-GB"/>
        </w:rPr>
      </w:pPr>
      <w:r w:rsidRPr="00FB2CC2">
        <w:rPr>
          <w:rFonts w:ascii="Times New Roman" w:hAnsi="Times New Roman" w:cs="Times New Roman"/>
          <w:b/>
          <w:bCs/>
          <w:sz w:val="32"/>
          <w:szCs w:val="32"/>
          <w:lang w:val="en-GB"/>
        </w:rPr>
        <w:t>Contents</w:t>
      </w:r>
    </w:p>
    <w:p w14:paraId="5FFACA42" w14:textId="77777777" w:rsidR="0018730B" w:rsidRPr="00FB2CC2" w:rsidRDefault="0018730B" w:rsidP="0018730B">
      <w:pPr>
        <w:numPr>
          <w:ilvl w:val="0"/>
          <w:numId w:val="13"/>
        </w:numPr>
        <w:rPr>
          <w:rFonts w:ascii="Times New Roman" w:hAnsi="Times New Roman" w:cs="Times New Roman"/>
          <w:b/>
          <w:bCs/>
          <w:sz w:val="28"/>
          <w:szCs w:val="28"/>
          <w:lang w:val="en-GB"/>
        </w:rPr>
      </w:pPr>
      <w:r w:rsidRPr="00FB2CC2">
        <w:rPr>
          <w:rFonts w:ascii="Times New Roman" w:hAnsi="Times New Roman" w:cs="Times New Roman"/>
          <w:b/>
          <w:bCs/>
          <w:sz w:val="28"/>
          <w:szCs w:val="28"/>
          <w:lang w:val="en-GB"/>
        </w:rPr>
        <w:t>Institutional Control Statement</w:t>
      </w:r>
    </w:p>
    <w:p w14:paraId="332E1F38" w14:textId="77777777" w:rsidR="0018730B" w:rsidRPr="00FB2CC2" w:rsidRDefault="0018730B" w:rsidP="0018730B">
      <w:pPr>
        <w:numPr>
          <w:ilvl w:val="0"/>
          <w:numId w:val="13"/>
        </w:numPr>
        <w:rPr>
          <w:rFonts w:ascii="Times New Roman" w:hAnsi="Times New Roman" w:cs="Times New Roman"/>
          <w:b/>
          <w:bCs/>
          <w:sz w:val="28"/>
          <w:szCs w:val="28"/>
          <w:lang w:val="en-GB"/>
        </w:rPr>
      </w:pPr>
      <w:r w:rsidRPr="00FB2CC2">
        <w:rPr>
          <w:rFonts w:ascii="Times New Roman" w:hAnsi="Times New Roman" w:cs="Times New Roman"/>
          <w:b/>
          <w:bCs/>
          <w:sz w:val="28"/>
          <w:szCs w:val="28"/>
          <w:lang w:val="en-GB"/>
        </w:rPr>
        <w:t>SECTION 1 — Core Project Data</w:t>
      </w:r>
    </w:p>
    <w:p w14:paraId="0B7067A3" w14:textId="77777777" w:rsidR="0018730B" w:rsidRPr="00FB2CC2" w:rsidRDefault="0018730B" w:rsidP="0018730B">
      <w:pPr>
        <w:numPr>
          <w:ilvl w:val="1"/>
          <w:numId w:val="13"/>
        </w:numPr>
        <w:rPr>
          <w:rFonts w:ascii="Times New Roman" w:hAnsi="Times New Roman" w:cs="Times New Roman"/>
          <w:sz w:val="28"/>
          <w:szCs w:val="28"/>
          <w:lang w:val="en-GB"/>
        </w:rPr>
      </w:pPr>
      <w:r w:rsidRPr="00FB2CC2">
        <w:rPr>
          <w:rFonts w:ascii="Times New Roman" w:hAnsi="Times New Roman" w:cs="Times New Roman"/>
          <w:sz w:val="28"/>
          <w:szCs w:val="28"/>
          <w:lang w:val="en-GB"/>
        </w:rPr>
        <w:t>1.1 Project Site Control &amp; Land Package</w:t>
      </w:r>
    </w:p>
    <w:p w14:paraId="724485D8" w14:textId="77777777" w:rsidR="0018730B" w:rsidRPr="00FB2CC2" w:rsidRDefault="0018730B" w:rsidP="0018730B">
      <w:pPr>
        <w:numPr>
          <w:ilvl w:val="1"/>
          <w:numId w:val="13"/>
        </w:numPr>
        <w:rPr>
          <w:rFonts w:ascii="Times New Roman" w:hAnsi="Times New Roman" w:cs="Times New Roman"/>
          <w:sz w:val="28"/>
          <w:szCs w:val="28"/>
          <w:lang w:val="en-GB"/>
        </w:rPr>
      </w:pPr>
      <w:r w:rsidRPr="00FB2CC2">
        <w:rPr>
          <w:rFonts w:ascii="Times New Roman" w:hAnsi="Times New Roman" w:cs="Times New Roman"/>
          <w:sz w:val="28"/>
          <w:szCs w:val="28"/>
          <w:lang w:val="en-GB"/>
        </w:rPr>
        <w:t>1.2 Planning &amp; Development Approvals</w:t>
      </w:r>
    </w:p>
    <w:p w14:paraId="49CFA10F" w14:textId="77777777" w:rsidR="0018730B" w:rsidRPr="00FB2CC2" w:rsidRDefault="0018730B" w:rsidP="0018730B">
      <w:pPr>
        <w:numPr>
          <w:ilvl w:val="1"/>
          <w:numId w:val="13"/>
        </w:numPr>
        <w:rPr>
          <w:rFonts w:ascii="Times New Roman" w:hAnsi="Times New Roman" w:cs="Times New Roman"/>
          <w:sz w:val="28"/>
          <w:szCs w:val="28"/>
          <w:lang w:val="en-GB"/>
        </w:rPr>
      </w:pPr>
      <w:r w:rsidRPr="00FB2CC2">
        <w:rPr>
          <w:rFonts w:ascii="Times New Roman" w:hAnsi="Times New Roman" w:cs="Times New Roman"/>
          <w:sz w:val="28"/>
          <w:szCs w:val="28"/>
          <w:lang w:val="en-GB"/>
        </w:rPr>
        <w:t>1.3 Grid Connection &amp; Utilities</w:t>
      </w:r>
    </w:p>
    <w:p w14:paraId="3D62A460" w14:textId="77777777" w:rsidR="0018730B" w:rsidRPr="00FB2CC2" w:rsidRDefault="0018730B" w:rsidP="0018730B">
      <w:pPr>
        <w:numPr>
          <w:ilvl w:val="1"/>
          <w:numId w:val="13"/>
        </w:numPr>
        <w:rPr>
          <w:rFonts w:ascii="Times New Roman" w:hAnsi="Times New Roman" w:cs="Times New Roman"/>
          <w:sz w:val="28"/>
          <w:szCs w:val="28"/>
          <w:lang w:val="en-GB"/>
        </w:rPr>
      </w:pPr>
      <w:r w:rsidRPr="00FB2CC2">
        <w:rPr>
          <w:rFonts w:ascii="Times New Roman" w:hAnsi="Times New Roman" w:cs="Times New Roman"/>
          <w:sz w:val="28"/>
          <w:szCs w:val="28"/>
          <w:lang w:val="en-GB"/>
        </w:rPr>
        <w:t>1.4 Construction Budget (Open Book CAPEX)</w:t>
      </w:r>
    </w:p>
    <w:p w14:paraId="0C48CE3F" w14:textId="77777777" w:rsidR="0018730B" w:rsidRPr="00FB2CC2" w:rsidRDefault="0018730B" w:rsidP="0018730B">
      <w:pPr>
        <w:numPr>
          <w:ilvl w:val="1"/>
          <w:numId w:val="13"/>
        </w:numPr>
        <w:rPr>
          <w:rFonts w:ascii="Times New Roman" w:hAnsi="Times New Roman" w:cs="Times New Roman"/>
          <w:sz w:val="28"/>
          <w:szCs w:val="28"/>
          <w:lang w:val="en-GB"/>
        </w:rPr>
      </w:pPr>
      <w:r w:rsidRPr="00FB2CC2">
        <w:rPr>
          <w:rFonts w:ascii="Times New Roman" w:hAnsi="Times New Roman" w:cs="Times New Roman"/>
          <w:sz w:val="28"/>
          <w:szCs w:val="28"/>
          <w:lang w:val="en-GB"/>
        </w:rPr>
        <w:t>1.5 Contractor Appointments &amp; Delivery Programme</w:t>
      </w:r>
    </w:p>
    <w:p w14:paraId="601CF26B" w14:textId="77777777" w:rsidR="0018730B" w:rsidRPr="00FB2CC2" w:rsidRDefault="0018730B" w:rsidP="0018730B">
      <w:pPr>
        <w:numPr>
          <w:ilvl w:val="1"/>
          <w:numId w:val="13"/>
        </w:numPr>
        <w:rPr>
          <w:rFonts w:ascii="Times New Roman" w:hAnsi="Times New Roman" w:cs="Times New Roman"/>
          <w:sz w:val="28"/>
          <w:szCs w:val="28"/>
          <w:lang w:val="en-GB"/>
        </w:rPr>
      </w:pPr>
      <w:r w:rsidRPr="00FB2CC2">
        <w:rPr>
          <w:rFonts w:ascii="Times New Roman" w:hAnsi="Times New Roman" w:cs="Times New Roman"/>
          <w:sz w:val="28"/>
          <w:szCs w:val="28"/>
          <w:lang w:val="en-GB"/>
        </w:rPr>
        <w:t>1.6 Technical Site Surveys</w:t>
      </w:r>
    </w:p>
    <w:p w14:paraId="518CE12A" w14:textId="77777777" w:rsidR="0018730B" w:rsidRPr="00FB2CC2" w:rsidRDefault="0018730B" w:rsidP="0018730B">
      <w:pPr>
        <w:numPr>
          <w:ilvl w:val="1"/>
          <w:numId w:val="13"/>
        </w:numPr>
        <w:rPr>
          <w:rFonts w:ascii="Times New Roman" w:hAnsi="Times New Roman" w:cs="Times New Roman"/>
          <w:sz w:val="28"/>
          <w:szCs w:val="28"/>
          <w:lang w:val="en-GB"/>
        </w:rPr>
      </w:pPr>
      <w:r w:rsidRPr="00FB2CC2">
        <w:rPr>
          <w:rFonts w:ascii="Times New Roman" w:hAnsi="Times New Roman" w:cs="Times New Roman"/>
          <w:sz w:val="28"/>
          <w:szCs w:val="28"/>
          <w:lang w:val="en-GB"/>
        </w:rPr>
        <w:t>1.7 Lease Agreements &amp; Tenant Commitments</w:t>
      </w:r>
    </w:p>
    <w:p w14:paraId="24A6F07C" w14:textId="77777777" w:rsidR="0018730B" w:rsidRPr="00FB2CC2" w:rsidRDefault="0018730B" w:rsidP="0018730B">
      <w:pPr>
        <w:numPr>
          <w:ilvl w:val="1"/>
          <w:numId w:val="13"/>
        </w:numPr>
        <w:rPr>
          <w:rFonts w:ascii="Times New Roman" w:hAnsi="Times New Roman" w:cs="Times New Roman"/>
          <w:sz w:val="28"/>
          <w:szCs w:val="28"/>
          <w:lang w:val="en-GB"/>
        </w:rPr>
      </w:pPr>
      <w:r w:rsidRPr="00FB2CC2">
        <w:rPr>
          <w:rFonts w:ascii="Times New Roman" w:hAnsi="Times New Roman" w:cs="Times New Roman"/>
          <w:sz w:val="28"/>
          <w:szCs w:val="28"/>
          <w:lang w:val="en-GB"/>
        </w:rPr>
        <w:t>1.8 Insurance Package</w:t>
      </w:r>
    </w:p>
    <w:p w14:paraId="336491ED" w14:textId="77777777" w:rsidR="0018730B" w:rsidRPr="00FB2CC2" w:rsidRDefault="0018730B" w:rsidP="0018730B">
      <w:pPr>
        <w:numPr>
          <w:ilvl w:val="1"/>
          <w:numId w:val="13"/>
        </w:numPr>
        <w:rPr>
          <w:rFonts w:ascii="Times New Roman" w:hAnsi="Times New Roman" w:cs="Times New Roman"/>
          <w:sz w:val="28"/>
          <w:szCs w:val="28"/>
          <w:lang w:val="en-GB"/>
        </w:rPr>
      </w:pPr>
      <w:r w:rsidRPr="00FB2CC2">
        <w:rPr>
          <w:rFonts w:ascii="Times New Roman" w:hAnsi="Times New Roman" w:cs="Times New Roman"/>
          <w:sz w:val="28"/>
          <w:szCs w:val="28"/>
          <w:lang w:val="en-GB"/>
        </w:rPr>
        <w:t>1.9 Operational Forecasts and Ongoing Costs</w:t>
      </w:r>
    </w:p>
    <w:p w14:paraId="343EF283" w14:textId="77777777" w:rsidR="0018730B" w:rsidRPr="00FB2CC2" w:rsidRDefault="0018730B" w:rsidP="0018730B">
      <w:pPr>
        <w:numPr>
          <w:ilvl w:val="1"/>
          <w:numId w:val="13"/>
        </w:numPr>
        <w:rPr>
          <w:rFonts w:ascii="Times New Roman" w:hAnsi="Times New Roman" w:cs="Times New Roman"/>
          <w:sz w:val="28"/>
          <w:szCs w:val="28"/>
          <w:lang w:val="en-GB"/>
        </w:rPr>
      </w:pPr>
      <w:r w:rsidRPr="00FB2CC2">
        <w:rPr>
          <w:rFonts w:ascii="Times New Roman" w:hAnsi="Times New Roman" w:cs="Times New Roman"/>
          <w:sz w:val="28"/>
          <w:szCs w:val="28"/>
          <w:lang w:val="en-GB"/>
        </w:rPr>
        <w:t>1.10 Funding Requirements &amp; Developer Payments</w:t>
      </w:r>
    </w:p>
    <w:p w14:paraId="6DEA5504" w14:textId="77777777" w:rsidR="0018730B" w:rsidRPr="00FB2CC2" w:rsidRDefault="0018730B" w:rsidP="0018730B">
      <w:pPr>
        <w:numPr>
          <w:ilvl w:val="1"/>
          <w:numId w:val="13"/>
        </w:numPr>
        <w:rPr>
          <w:rFonts w:ascii="Times New Roman" w:hAnsi="Times New Roman" w:cs="Times New Roman"/>
          <w:sz w:val="28"/>
          <w:szCs w:val="28"/>
          <w:lang w:val="en-GB"/>
        </w:rPr>
      </w:pPr>
      <w:r w:rsidRPr="00FB2CC2">
        <w:rPr>
          <w:rFonts w:ascii="Times New Roman" w:hAnsi="Times New Roman" w:cs="Times New Roman"/>
          <w:sz w:val="28"/>
          <w:szCs w:val="28"/>
          <w:lang w:val="en-GB"/>
        </w:rPr>
        <w:t>1.11 Key Parties &amp; Contacts</w:t>
      </w:r>
    </w:p>
    <w:p w14:paraId="51CC7AF4" w14:textId="77777777" w:rsidR="0018730B" w:rsidRPr="00FB2CC2" w:rsidRDefault="0018730B" w:rsidP="0018730B">
      <w:pPr>
        <w:numPr>
          <w:ilvl w:val="1"/>
          <w:numId w:val="13"/>
        </w:numPr>
        <w:rPr>
          <w:rFonts w:ascii="Times New Roman" w:hAnsi="Times New Roman" w:cs="Times New Roman"/>
          <w:sz w:val="28"/>
          <w:szCs w:val="28"/>
          <w:lang w:val="en-GB"/>
        </w:rPr>
      </w:pPr>
      <w:r w:rsidRPr="00FB2CC2">
        <w:rPr>
          <w:rFonts w:ascii="Times New Roman" w:hAnsi="Times New Roman" w:cs="Times New Roman"/>
          <w:sz w:val="28"/>
          <w:szCs w:val="28"/>
          <w:lang w:val="en-GB"/>
        </w:rPr>
        <w:t>1.12 Project Commercialisation Rights</w:t>
      </w:r>
    </w:p>
    <w:p w14:paraId="2C95D043" w14:textId="77777777" w:rsidR="0018730B" w:rsidRPr="00FB2CC2" w:rsidRDefault="0018730B" w:rsidP="0018730B">
      <w:pPr>
        <w:numPr>
          <w:ilvl w:val="0"/>
          <w:numId w:val="13"/>
        </w:numPr>
        <w:rPr>
          <w:rFonts w:ascii="Times New Roman" w:hAnsi="Times New Roman" w:cs="Times New Roman"/>
          <w:b/>
          <w:bCs/>
          <w:sz w:val="28"/>
          <w:szCs w:val="28"/>
          <w:lang w:val="en-GB"/>
        </w:rPr>
      </w:pPr>
      <w:r w:rsidRPr="00FB2CC2">
        <w:rPr>
          <w:rFonts w:ascii="Times New Roman" w:hAnsi="Times New Roman" w:cs="Times New Roman"/>
          <w:b/>
          <w:bCs/>
          <w:sz w:val="28"/>
          <w:szCs w:val="28"/>
          <w:lang w:val="en-GB"/>
        </w:rPr>
        <w:t>SECTION 2 — Institutional Readiness</w:t>
      </w:r>
    </w:p>
    <w:p w14:paraId="0A636A38" w14:textId="77777777" w:rsidR="0018730B" w:rsidRPr="00FB2CC2" w:rsidRDefault="0018730B" w:rsidP="0018730B">
      <w:pPr>
        <w:numPr>
          <w:ilvl w:val="1"/>
          <w:numId w:val="13"/>
        </w:numPr>
        <w:rPr>
          <w:rFonts w:ascii="Times New Roman" w:hAnsi="Times New Roman" w:cs="Times New Roman"/>
          <w:sz w:val="28"/>
          <w:szCs w:val="28"/>
          <w:lang w:val="en-GB"/>
        </w:rPr>
      </w:pPr>
      <w:r w:rsidRPr="00FB2CC2">
        <w:rPr>
          <w:rFonts w:ascii="Times New Roman" w:hAnsi="Times New Roman" w:cs="Times New Roman"/>
          <w:sz w:val="28"/>
          <w:szCs w:val="28"/>
          <w:lang w:val="en-GB"/>
        </w:rPr>
        <w:t>2.1 Developer Experience &amp; Delivery Credentials</w:t>
      </w:r>
    </w:p>
    <w:p w14:paraId="22EE8B96" w14:textId="77777777" w:rsidR="0018730B" w:rsidRPr="00FB2CC2" w:rsidRDefault="0018730B" w:rsidP="0018730B">
      <w:pPr>
        <w:numPr>
          <w:ilvl w:val="1"/>
          <w:numId w:val="13"/>
        </w:numPr>
        <w:rPr>
          <w:rFonts w:ascii="Times New Roman" w:hAnsi="Times New Roman" w:cs="Times New Roman"/>
          <w:sz w:val="28"/>
          <w:szCs w:val="28"/>
          <w:lang w:val="en-GB"/>
        </w:rPr>
      </w:pPr>
      <w:r w:rsidRPr="00FB2CC2">
        <w:rPr>
          <w:rFonts w:ascii="Times New Roman" w:hAnsi="Times New Roman" w:cs="Times New Roman"/>
          <w:sz w:val="28"/>
          <w:szCs w:val="28"/>
          <w:lang w:val="en-GB"/>
        </w:rPr>
        <w:t>2.2 Delivery Governance &amp; Oversight</w:t>
      </w:r>
    </w:p>
    <w:p w14:paraId="346DB789" w14:textId="77777777" w:rsidR="0018730B" w:rsidRPr="00FB2CC2" w:rsidRDefault="0018730B" w:rsidP="0018730B">
      <w:pPr>
        <w:numPr>
          <w:ilvl w:val="1"/>
          <w:numId w:val="13"/>
        </w:numPr>
        <w:rPr>
          <w:rFonts w:ascii="Times New Roman" w:hAnsi="Times New Roman" w:cs="Times New Roman"/>
          <w:sz w:val="28"/>
          <w:szCs w:val="28"/>
          <w:lang w:val="en-GB"/>
        </w:rPr>
      </w:pPr>
      <w:r w:rsidRPr="00FB2CC2">
        <w:rPr>
          <w:rFonts w:ascii="Times New Roman" w:hAnsi="Times New Roman" w:cs="Times New Roman"/>
          <w:sz w:val="28"/>
          <w:szCs w:val="28"/>
          <w:lang w:val="en-GB"/>
        </w:rPr>
        <w:lastRenderedPageBreak/>
        <w:t>2.3 Tier 1 Contractor Financial Covenant Monitoring</w:t>
      </w:r>
    </w:p>
    <w:p w14:paraId="7026C587" w14:textId="77777777" w:rsidR="0018730B" w:rsidRPr="00FB2CC2" w:rsidRDefault="0018730B" w:rsidP="0018730B">
      <w:pPr>
        <w:numPr>
          <w:ilvl w:val="1"/>
          <w:numId w:val="13"/>
        </w:numPr>
        <w:rPr>
          <w:rFonts w:ascii="Times New Roman" w:hAnsi="Times New Roman" w:cs="Times New Roman"/>
          <w:sz w:val="28"/>
          <w:szCs w:val="28"/>
          <w:lang w:val="en-GB"/>
        </w:rPr>
      </w:pPr>
      <w:r w:rsidRPr="00FB2CC2">
        <w:rPr>
          <w:rFonts w:ascii="Times New Roman" w:hAnsi="Times New Roman" w:cs="Times New Roman"/>
          <w:sz w:val="28"/>
          <w:szCs w:val="28"/>
          <w:lang w:val="en-GB"/>
        </w:rPr>
        <w:t>2.4 Developer Capital Exposure</w:t>
      </w:r>
    </w:p>
    <w:p w14:paraId="1A74C62E" w14:textId="77777777" w:rsidR="0018730B" w:rsidRPr="00FB2CC2" w:rsidRDefault="0018730B" w:rsidP="0018730B">
      <w:pPr>
        <w:numPr>
          <w:ilvl w:val="1"/>
          <w:numId w:val="13"/>
        </w:numPr>
        <w:rPr>
          <w:rFonts w:ascii="Times New Roman" w:hAnsi="Times New Roman" w:cs="Times New Roman"/>
          <w:sz w:val="28"/>
          <w:szCs w:val="28"/>
          <w:lang w:val="en-GB"/>
        </w:rPr>
      </w:pPr>
      <w:r w:rsidRPr="00FB2CC2">
        <w:rPr>
          <w:rFonts w:ascii="Times New Roman" w:hAnsi="Times New Roman" w:cs="Times New Roman"/>
          <w:sz w:val="28"/>
          <w:szCs w:val="28"/>
          <w:lang w:val="en-GB"/>
        </w:rPr>
        <w:t>2.5 Pre-Completion Liquidity Arrangements</w:t>
      </w:r>
    </w:p>
    <w:p w14:paraId="0CE38930" w14:textId="77777777" w:rsidR="0018730B" w:rsidRPr="00FB2CC2" w:rsidRDefault="0018730B" w:rsidP="0018730B">
      <w:pPr>
        <w:numPr>
          <w:ilvl w:val="1"/>
          <w:numId w:val="13"/>
        </w:numPr>
        <w:rPr>
          <w:rFonts w:ascii="Times New Roman" w:hAnsi="Times New Roman" w:cs="Times New Roman"/>
          <w:sz w:val="28"/>
          <w:szCs w:val="28"/>
          <w:lang w:val="en-GB"/>
        </w:rPr>
      </w:pPr>
      <w:r w:rsidRPr="00FB2CC2">
        <w:rPr>
          <w:rFonts w:ascii="Times New Roman" w:hAnsi="Times New Roman" w:cs="Times New Roman"/>
          <w:sz w:val="28"/>
          <w:szCs w:val="28"/>
          <w:lang w:val="en-GB"/>
        </w:rPr>
        <w:t>2.6 Operations Team &amp; Commissioning Readiness</w:t>
      </w:r>
    </w:p>
    <w:p w14:paraId="1012ABF1" w14:textId="77777777" w:rsidR="0018730B" w:rsidRPr="00FB2CC2" w:rsidRDefault="0018730B" w:rsidP="0018730B">
      <w:pPr>
        <w:numPr>
          <w:ilvl w:val="1"/>
          <w:numId w:val="13"/>
        </w:numPr>
        <w:rPr>
          <w:rFonts w:ascii="Times New Roman" w:hAnsi="Times New Roman" w:cs="Times New Roman"/>
          <w:sz w:val="28"/>
          <w:szCs w:val="28"/>
          <w:lang w:val="en-GB"/>
        </w:rPr>
      </w:pPr>
      <w:r w:rsidRPr="00FB2CC2">
        <w:rPr>
          <w:rFonts w:ascii="Times New Roman" w:hAnsi="Times New Roman" w:cs="Times New Roman"/>
          <w:sz w:val="28"/>
          <w:szCs w:val="28"/>
          <w:lang w:val="en-GB"/>
        </w:rPr>
        <w:t>2.7 Reporting &amp; Institutional Controls</w:t>
      </w:r>
    </w:p>
    <w:p w14:paraId="375AE430" w14:textId="77777777" w:rsidR="0018730B" w:rsidRPr="00FB2CC2" w:rsidRDefault="0018730B" w:rsidP="0018730B">
      <w:pPr>
        <w:numPr>
          <w:ilvl w:val="1"/>
          <w:numId w:val="13"/>
        </w:numPr>
        <w:rPr>
          <w:rFonts w:ascii="Times New Roman" w:hAnsi="Times New Roman" w:cs="Times New Roman"/>
          <w:sz w:val="28"/>
          <w:szCs w:val="28"/>
          <w:lang w:val="en-GB"/>
        </w:rPr>
      </w:pPr>
      <w:r w:rsidRPr="00FB2CC2">
        <w:rPr>
          <w:rFonts w:ascii="Times New Roman" w:hAnsi="Times New Roman" w:cs="Times New Roman"/>
          <w:sz w:val="28"/>
          <w:szCs w:val="28"/>
          <w:lang w:val="en-GB"/>
        </w:rPr>
        <w:t>2.8 Wider Project Sponsors Development Pipeline</w:t>
      </w:r>
    </w:p>
    <w:p w14:paraId="34F0E2A6" w14:textId="77777777" w:rsidR="0018730B" w:rsidRPr="00FB2CC2" w:rsidRDefault="0018730B" w:rsidP="0018730B">
      <w:pPr>
        <w:numPr>
          <w:ilvl w:val="0"/>
          <w:numId w:val="13"/>
        </w:numPr>
        <w:rPr>
          <w:rFonts w:ascii="Times New Roman" w:hAnsi="Times New Roman" w:cs="Times New Roman"/>
          <w:b/>
          <w:bCs/>
          <w:sz w:val="28"/>
          <w:szCs w:val="28"/>
          <w:lang w:val="en-GB"/>
        </w:rPr>
      </w:pPr>
      <w:r w:rsidRPr="00FB2CC2">
        <w:rPr>
          <w:rFonts w:ascii="Times New Roman" w:hAnsi="Times New Roman" w:cs="Times New Roman"/>
          <w:b/>
          <w:bCs/>
          <w:sz w:val="28"/>
          <w:szCs w:val="28"/>
          <w:lang w:val="en-GB"/>
        </w:rPr>
        <w:t>SECTION 3 — Institutional Risk Controls</w:t>
      </w:r>
    </w:p>
    <w:p w14:paraId="1833D2A6" w14:textId="77777777" w:rsidR="0018730B" w:rsidRPr="00FB2CC2" w:rsidRDefault="0018730B" w:rsidP="0018730B">
      <w:pPr>
        <w:numPr>
          <w:ilvl w:val="1"/>
          <w:numId w:val="13"/>
        </w:numPr>
        <w:rPr>
          <w:rFonts w:ascii="Times New Roman" w:hAnsi="Times New Roman" w:cs="Times New Roman"/>
          <w:sz w:val="28"/>
          <w:szCs w:val="28"/>
          <w:lang w:val="en-GB"/>
        </w:rPr>
      </w:pPr>
      <w:r w:rsidRPr="00FB2CC2">
        <w:rPr>
          <w:rFonts w:ascii="Times New Roman" w:hAnsi="Times New Roman" w:cs="Times New Roman"/>
          <w:sz w:val="28"/>
          <w:szCs w:val="28"/>
          <w:lang w:val="en-GB"/>
        </w:rPr>
        <w:t>3.1 Land Title Defence Layer</w:t>
      </w:r>
    </w:p>
    <w:p w14:paraId="1724E3B4" w14:textId="77777777" w:rsidR="0018730B" w:rsidRPr="00FB2CC2" w:rsidRDefault="0018730B" w:rsidP="0018730B">
      <w:pPr>
        <w:numPr>
          <w:ilvl w:val="1"/>
          <w:numId w:val="13"/>
        </w:numPr>
        <w:rPr>
          <w:rFonts w:ascii="Times New Roman" w:hAnsi="Times New Roman" w:cs="Times New Roman"/>
          <w:sz w:val="28"/>
          <w:szCs w:val="28"/>
          <w:lang w:val="en-GB"/>
        </w:rPr>
      </w:pPr>
      <w:r w:rsidRPr="00FB2CC2">
        <w:rPr>
          <w:rFonts w:ascii="Times New Roman" w:hAnsi="Times New Roman" w:cs="Times New Roman"/>
          <w:sz w:val="28"/>
          <w:szCs w:val="28"/>
          <w:lang w:val="en-GB"/>
        </w:rPr>
        <w:t>3.2 Planning Legal Stability</w:t>
      </w:r>
    </w:p>
    <w:p w14:paraId="7D40291C" w14:textId="77777777" w:rsidR="0018730B" w:rsidRPr="00FB2CC2" w:rsidRDefault="0018730B" w:rsidP="0018730B">
      <w:pPr>
        <w:numPr>
          <w:ilvl w:val="1"/>
          <w:numId w:val="13"/>
        </w:numPr>
        <w:rPr>
          <w:rFonts w:ascii="Times New Roman" w:hAnsi="Times New Roman" w:cs="Times New Roman"/>
          <w:sz w:val="28"/>
          <w:szCs w:val="28"/>
          <w:lang w:val="en-GB"/>
        </w:rPr>
      </w:pPr>
      <w:r w:rsidRPr="00FB2CC2">
        <w:rPr>
          <w:rFonts w:ascii="Times New Roman" w:hAnsi="Times New Roman" w:cs="Times New Roman"/>
          <w:sz w:val="28"/>
          <w:szCs w:val="28"/>
          <w:lang w:val="en-GB"/>
        </w:rPr>
        <w:t>3.3 ESG Institutional Compliance</w:t>
      </w:r>
    </w:p>
    <w:p w14:paraId="21760445" w14:textId="77777777" w:rsidR="0018730B" w:rsidRPr="00FB2CC2" w:rsidRDefault="0018730B" w:rsidP="0018730B">
      <w:pPr>
        <w:numPr>
          <w:ilvl w:val="1"/>
          <w:numId w:val="13"/>
        </w:numPr>
        <w:rPr>
          <w:rFonts w:ascii="Times New Roman" w:hAnsi="Times New Roman" w:cs="Times New Roman"/>
          <w:sz w:val="28"/>
          <w:szCs w:val="28"/>
          <w:lang w:val="en-GB"/>
        </w:rPr>
      </w:pPr>
      <w:r w:rsidRPr="00FB2CC2">
        <w:rPr>
          <w:rFonts w:ascii="Times New Roman" w:hAnsi="Times New Roman" w:cs="Times New Roman"/>
          <w:sz w:val="28"/>
          <w:szCs w:val="28"/>
          <w:lang w:val="en-GB"/>
        </w:rPr>
        <w:t>3.4 Procurement Risk</w:t>
      </w:r>
    </w:p>
    <w:p w14:paraId="478E9086" w14:textId="77777777" w:rsidR="0018730B" w:rsidRPr="00FB2CC2" w:rsidRDefault="0018730B" w:rsidP="0018730B">
      <w:pPr>
        <w:numPr>
          <w:ilvl w:val="1"/>
          <w:numId w:val="13"/>
        </w:numPr>
        <w:rPr>
          <w:rFonts w:ascii="Times New Roman" w:hAnsi="Times New Roman" w:cs="Times New Roman"/>
          <w:sz w:val="28"/>
          <w:szCs w:val="28"/>
          <w:lang w:val="en-GB"/>
        </w:rPr>
      </w:pPr>
      <w:r w:rsidRPr="00FB2CC2">
        <w:rPr>
          <w:rFonts w:ascii="Times New Roman" w:hAnsi="Times New Roman" w:cs="Times New Roman"/>
          <w:sz w:val="28"/>
          <w:szCs w:val="28"/>
          <w:lang w:val="en-GB"/>
        </w:rPr>
        <w:t>3.5 Construction Programme Execution Control</w:t>
      </w:r>
    </w:p>
    <w:p w14:paraId="434B4D21" w14:textId="77777777" w:rsidR="0018730B" w:rsidRPr="00FB2CC2" w:rsidRDefault="0018730B" w:rsidP="0018730B">
      <w:pPr>
        <w:numPr>
          <w:ilvl w:val="1"/>
          <w:numId w:val="13"/>
        </w:numPr>
        <w:rPr>
          <w:rFonts w:ascii="Times New Roman" w:hAnsi="Times New Roman" w:cs="Times New Roman"/>
          <w:sz w:val="28"/>
          <w:szCs w:val="28"/>
          <w:lang w:val="en-GB"/>
        </w:rPr>
      </w:pPr>
      <w:r w:rsidRPr="00FB2CC2">
        <w:rPr>
          <w:rFonts w:ascii="Times New Roman" w:hAnsi="Times New Roman" w:cs="Times New Roman"/>
          <w:sz w:val="28"/>
          <w:szCs w:val="28"/>
          <w:lang w:val="en-GB"/>
        </w:rPr>
        <w:t>3.6 Technical Completion Assurance</w:t>
      </w:r>
    </w:p>
    <w:p w14:paraId="3ADACCC5" w14:textId="77777777" w:rsidR="0018730B" w:rsidRPr="00FB2CC2" w:rsidRDefault="0018730B" w:rsidP="0018730B">
      <w:pPr>
        <w:numPr>
          <w:ilvl w:val="1"/>
          <w:numId w:val="13"/>
        </w:numPr>
        <w:rPr>
          <w:rFonts w:ascii="Times New Roman" w:hAnsi="Times New Roman" w:cs="Times New Roman"/>
          <w:sz w:val="28"/>
          <w:szCs w:val="28"/>
          <w:lang w:val="en-GB"/>
        </w:rPr>
      </w:pPr>
      <w:r w:rsidRPr="00FB2CC2">
        <w:rPr>
          <w:rFonts w:ascii="Times New Roman" w:hAnsi="Times New Roman" w:cs="Times New Roman"/>
          <w:sz w:val="28"/>
          <w:szCs w:val="28"/>
          <w:lang w:val="en-GB"/>
        </w:rPr>
        <w:t>3.7 Lease Income Stability</w:t>
      </w:r>
    </w:p>
    <w:p w14:paraId="76EE7CFA" w14:textId="77777777" w:rsidR="0018730B" w:rsidRPr="00FB2CC2" w:rsidRDefault="0018730B" w:rsidP="0018730B">
      <w:pPr>
        <w:numPr>
          <w:ilvl w:val="1"/>
          <w:numId w:val="13"/>
        </w:numPr>
        <w:rPr>
          <w:rFonts w:ascii="Times New Roman" w:hAnsi="Times New Roman" w:cs="Times New Roman"/>
          <w:sz w:val="28"/>
          <w:szCs w:val="28"/>
          <w:lang w:val="en-GB"/>
        </w:rPr>
      </w:pPr>
      <w:r w:rsidRPr="00FB2CC2">
        <w:rPr>
          <w:rFonts w:ascii="Times New Roman" w:hAnsi="Times New Roman" w:cs="Times New Roman"/>
          <w:sz w:val="28"/>
          <w:szCs w:val="28"/>
          <w:lang w:val="en-GB"/>
        </w:rPr>
        <w:t>3.8 Insurance Claims Defence Readiness</w:t>
      </w:r>
    </w:p>
    <w:p w14:paraId="363D73BD" w14:textId="77777777" w:rsidR="0018730B" w:rsidRPr="00FB2CC2" w:rsidRDefault="0018730B" w:rsidP="0018730B">
      <w:pPr>
        <w:numPr>
          <w:ilvl w:val="1"/>
          <w:numId w:val="13"/>
        </w:numPr>
        <w:rPr>
          <w:rFonts w:ascii="Times New Roman" w:hAnsi="Times New Roman" w:cs="Times New Roman"/>
          <w:sz w:val="28"/>
          <w:szCs w:val="28"/>
          <w:lang w:val="en-GB"/>
        </w:rPr>
      </w:pPr>
      <w:r w:rsidRPr="00FB2CC2">
        <w:rPr>
          <w:rFonts w:ascii="Times New Roman" w:hAnsi="Times New Roman" w:cs="Times New Roman"/>
          <w:sz w:val="28"/>
          <w:szCs w:val="28"/>
          <w:lang w:val="en-GB"/>
        </w:rPr>
        <w:t>3.9 Multi-Tenant Operational Scalability</w:t>
      </w:r>
    </w:p>
    <w:p w14:paraId="786AED2D" w14:textId="4EE43373" w:rsidR="00F31B71" w:rsidRPr="00FB2CC2" w:rsidRDefault="0018730B" w:rsidP="00C31823">
      <w:pPr>
        <w:numPr>
          <w:ilvl w:val="1"/>
          <w:numId w:val="13"/>
        </w:numPr>
        <w:rPr>
          <w:rFonts w:ascii="Times New Roman" w:hAnsi="Times New Roman" w:cs="Times New Roman"/>
          <w:sz w:val="28"/>
          <w:szCs w:val="28"/>
          <w:lang w:val="en-GB"/>
        </w:rPr>
      </w:pPr>
      <w:r w:rsidRPr="00FB2CC2">
        <w:rPr>
          <w:rFonts w:ascii="Times New Roman" w:hAnsi="Times New Roman" w:cs="Times New Roman"/>
          <w:sz w:val="28"/>
          <w:szCs w:val="28"/>
          <w:lang w:val="en-GB"/>
        </w:rPr>
        <w:t>3.10 Grid Connection Delivery Risk</w:t>
      </w:r>
    </w:p>
    <w:p w14:paraId="56A624F0" w14:textId="2558ACB6" w:rsidR="005F2785" w:rsidRPr="00FB2CC2" w:rsidRDefault="005F2785" w:rsidP="00C31823">
      <w:pPr>
        <w:numPr>
          <w:ilvl w:val="0"/>
          <w:numId w:val="13"/>
        </w:numPr>
        <w:rPr>
          <w:rFonts w:ascii="Times New Roman" w:hAnsi="Times New Roman" w:cs="Times New Roman"/>
          <w:b/>
          <w:bCs/>
          <w:sz w:val="28"/>
          <w:szCs w:val="28"/>
          <w:lang w:val="en-GB"/>
        </w:rPr>
      </w:pPr>
      <w:bookmarkStart w:id="0" w:name="_Hlk201584569"/>
      <w:r w:rsidRPr="00FB2CC2">
        <w:rPr>
          <w:rFonts w:ascii="Times New Roman" w:hAnsi="Times New Roman" w:cs="Times New Roman"/>
          <w:b/>
          <w:bCs/>
          <w:sz w:val="28"/>
          <w:szCs w:val="28"/>
          <w:lang w:val="en-GB"/>
        </w:rPr>
        <w:t>SECTION 4 — Additional Notes/Information</w:t>
      </w:r>
      <w:bookmarkEnd w:id="0"/>
    </w:p>
    <w:p w14:paraId="073CC120" w14:textId="1ED77DA1" w:rsidR="005F2785" w:rsidRPr="00FB2CC2" w:rsidRDefault="005F2785" w:rsidP="005F2785">
      <w:pPr>
        <w:numPr>
          <w:ilvl w:val="1"/>
          <w:numId w:val="14"/>
        </w:numPr>
        <w:rPr>
          <w:rFonts w:ascii="Times New Roman" w:hAnsi="Times New Roman" w:cs="Times New Roman"/>
          <w:sz w:val="28"/>
          <w:szCs w:val="28"/>
          <w:lang w:val="en-GB"/>
        </w:rPr>
      </w:pPr>
      <w:r w:rsidRPr="00FB2CC2">
        <w:rPr>
          <w:rFonts w:ascii="Times New Roman" w:hAnsi="Times New Roman" w:cs="Times New Roman"/>
          <w:sz w:val="28"/>
          <w:szCs w:val="28"/>
          <w:lang w:val="en-GB"/>
        </w:rPr>
        <w:t>4</w:t>
      </w:r>
      <w:r w:rsidR="003E1B6B" w:rsidRPr="00FB2CC2">
        <w:rPr>
          <w:rFonts w:ascii="Times New Roman" w:hAnsi="Times New Roman" w:cs="Times New Roman"/>
          <w:sz w:val="28"/>
          <w:szCs w:val="28"/>
          <w:lang w:val="en-GB"/>
        </w:rPr>
        <w:t>.</w:t>
      </w:r>
      <w:r w:rsidRPr="00FB2CC2">
        <w:rPr>
          <w:rFonts w:ascii="Times New Roman" w:hAnsi="Times New Roman" w:cs="Times New Roman"/>
          <w:sz w:val="28"/>
          <w:szCs w:val="28"/>
          <w:lang w:val="en-GB"/>
        </w:rPr>
        <w:t>1 Institutional Readiness Confirmations</w:t>
      </w:r>
    </w:p>
    <w:p w14:paraId="72A7FC68" w14:textId="40C9AEAF" w:rsidR="005F2785" w:rsidRPr="00FB2CC2" w:rsidRDefault="005F2785" w:rsidP="00C31823">
      <w:pPr>
        <w:numPr>
          <w:ilvl w:val="1"/>
          <w:numId w:val="13"/>
        </w:numPr>
        <w:rPr>
          <w:rFonts w:ascii="Times New Roman" w:hAnsi="Times New Roman" w:cs="Times New Roman"/>
          <w:sz w:val="28"/>
          <w:szCs w:val="28"/>
          <w:lang w:val="en-GB"/>
        </w:rPr>
        <w:sectPr w:rsidR="005F2785" w:rsidRPr="00FB2CC2" w:rsidSect="00F31B71">
          <w:headerReference w:type="default" r:id="rId8"/>
          <w:footerReference w:type="default" r:id="rId9"/>
          <w:headerReference w:type="first" r:id="rId10"/>
          <w:pgSz w:w="12240" w:h="15840"/>
          <w:pgMar w:top="1440" w:right="1800" w:bottom="1440" w:left="1800" w:header="720" w:footer="720" w:gutter="0"/>
          <w:cols w:space="720"/>
          <w:titlePg/>
          <w:docGrid w:linePitch="360"/>
        </w:sectPr>
      </w:pPr>
    </w:p>
    <w:p w14:paraId="0FB15A2E" w14:textId="77777777" w:rsidR="005F222A" w:rsidRPr="00FB2CC2" w:rsidRDefault="005F222A" w:rsidP="005F222A">
      <w:pPr>
        <w:pStyle w:val="NormalWeb"/>
        <w:rPr>
          <w:sz w:val="28"/>
          <w:szCs w:val="28"/>
        </w:rPr>
      </w:pPr>
      <w:r w:rsidRPr="00FB2CC2">
        <w:rPr>
          <w:rStyle w:val="Strong"/>
          <w:sz w:val="28"/>
          <w:szCs w:val="28"/>
        </w:rPr>
        <w:lastRenderedPageBreak/>
        <w:t>Institutional Control Statement</w:t>
      </w:r>
    </w:p>
    <w:p w14:paraId="21DD4A6A" w14:textId="2188C93D" w:rsidR="005F222A" w:rsidRPr="00FB2CC2" w:rsidRDefault="005F222A" w:rsidP="005F222A">
      <w:pPr>
        <w:pStyle w:val="NormalWeb"/>
        <w:rPr>
          <w:sz w:val="28"/>
          <w:szCs w:val="28"/>
        </w:rPr>
      </w:pPr>
      <w:r w:rsidRPr="00FB2CC2">
        <w:rPr>
          <w:sz w:val="28"/>
          <w:szCs w:val="28"/>
        </w:rPr>
        <w:t>Your role as Project Sponsor:</w:t>
      </w:r>
    </w:p>
    <w:p w14:paraId="48DE3D8D" w14:textId="77777777" w:rsidR="00E4541B" w:rsidRPr="00FB2CC2" w:rsidRDefault="00E4541B" w:rsidP="00E4541B">
      <w:pPr>
        <w:pStyle w:val="NormalWeb"/>
        <w:rPr>
          <w:rFonts w:eastAsiaTheme="majorEastAsia"/>
          <w:sz w:val="28"/>
          <w:szCs w:val="28"/>
        </w:rPr>
      </w:pPr>
      <w:r w:rsidRPr="00FB2CC2">
        <w:rPr>
          <w:rFonts w:ascii="Segoe UI Symbol" w:hAnsi="Segoe UI Symbol" w:cs="Segoe UI Symbol"/>
          <w:sz w:val="28"/>
          <w:szCs w:val="28"/>
        </w:rPr>
        <w:t>➔</w:t>
      </w:r>
      <w:r w:rsidRPr="00FB2CC2">
        <w:rPr>
          <w:sz w:val="28"/>
          <w:szCs w:val="28"/>
        </w:rPr>
        <w:t xml:space="preserve"> You are responsible for developing, delivering and operating the underlying assets. </w:t>
      </w:r>
      <w:r w:rsidRPr="00FB2CC2">
        <w:rPr>
          <w:rFonts w:ascii="Segoe UI Symbol" w:hAnsi="Segoe UI Symbol" w:cs="Segoe UI Symbol"/>
          <w:sz w:val="28"/>
          <w:szCs w:val="28"/>
        </w:rPr>
        <w:t>➔</w:t>
      </w:r>
      <w:r w:rsidRPr="00FB2CC2">
        <w:rPr>
          <w:sz w:val="28"/>
          <w:szCs w:val="28"/>
        </w:rPr>
        <w:t xml:space="preserve"> Your developer profit is earned upon asset handover and entry into commercial operation. </w:t>
      </w:r>
      <w:r w:rsidRPr="00FB2CC2">
        <w:rPr>
          <w:rFonts w:ascii="Segoe UI Symbol" w:hAnsi="Segoe UI Symbol" w:cs="Segoe UI Symbol"/>
          <w:sz w:val="28"/>
          <w:szCs w:val="28"/>
        </w:rPr>
        <w:t>➔</w:t>
      </w:r>
      <w:r w:rsidRPr="00FB2CC2">
        <w:rPr>
          <w:sz w:val="28"/>
          <w:szCs w:val="28"/>
        </w:rPr>
        <w:t xml:space="preserve"> Your ongoing operating profit is earned via operational services fees under your O&amp;M contract. </w:t>
      </w:r>
      <w:r w:rsidRPr="00FB2CC2">
        <w:rPr>
          <w:rFonts w:ascii="Segoe UI Symbol" w:hAnsi="Segoe UI Symbol" w:cs="Segoe UI Symbol"/>
          <w:sz w:val="28"/>
          <w:szCs w:val="28"/>
        </w:rPr>
        <w:t>➔</w:t>
      </w:r>
      <w:r w:rsidRPr="00FB2CC2">
        <w:rPr>
          <w:sz w:val="28"/>
          <w:szCs w:val="28"/>
        </w:rPr>
        <w:t xml:space="preserve"> RED AMC &amp; TBC is solely responsible for financial structuring, capital markets execution, securitisation structuring across the financial instruments, rating agency management. The structuring methodology remains fully under platform control. </w:t>
      </w:r>
      <w:r w:rsidRPr="00FB2CC2">
        <w:rPr>
          <w:rFonts w:eastAsiaTheme="majorEastAsia"/>
          <w:sz w:val="28"/>
          <w:szCs w:val="28"/>
        </w:rPr>
        <w:t>This document collects the key financial, commercial, delivery and risk information needed by Red AMC / TBC to build full financial models, institutional structures and assess project viability. Where exact numbers are not yet finalised, indicative estimates should still be provided.</w:t>
      </w:r>
    </w:p>
    <w:p w14:paraId="60FC7A3B" w14:textId="77777777" w:rsidR="005F222A" w:rsidRPr="00FB2CC2" w:rsidRDefault="00DF03FD" w:rsidP="005F222A">
      <w:pPr>
        <w:rPr>
          <w:rFonts w:ascii="Times New Roman" w:hAnsi="Times New Roman" w:cs="Times New Roman"/>
          <w:sz w:val="28"/>
          <w:szCs w:val="28"/>
        </w:rPr>
      </w:pPr>
      <w:r>
        <w:rPr>
          <w:rFonts w:ascii="Times New Roman" w:hAnsi="Times New Roman" w:cs="Times New Roman"/>
          <w:sz w:val="28"/>
          <w:szCs w:val="28"/>
        </w:rPr>
        <w:pict w14:anchorId="02CFEBD8">
          <v:rect id="_x0000_i1025" style="width:0;height:1.5pt" o:hralign="center" o:hrstd="t" o:hr="t" fillcolor="#a0a0a0" stroked="f"/>
        </w:pict>
      </w:r>
    </w:p>
    <w:p w14:paraId="50EA1F25" w14:textId="77777777" w:rsidR="005F222A" w:rsidRPr="00FB2CC2" w:rsidRDefault="005F222A" w:rsidP="005F222A">
      <w:pPr>
        <w:pStyle w:val="Heading1"/>
        <w:rPr>
          <w:rFonts w:ascii="Times New Roman" w:hAnsi="Times New Roman" w:cs="Times New Roman"/>
          <w:color w:val="auto"/>
        </w:rPr>
      </w:pPr>
      <w:r w:rsidRPr="00FB2CC2">
        <w:rPr>
          <w:rFonts w:ascii="Times New Roman" w:hAnsi="Times New Roman" w:cs="Times New Roman"/>
          <w:color w:val="auto"/>
        </w:rPr>
        <w:t>SECTION 1 — Core Project Data</w:t>
      </w:r>
    </w:p>
    <w:p w14:paraId="0FC263C6" w14:textId="77777777" w:rsidR="003E1B6B" w:rsidRPr="00FB2CC2" w:rsidRDefault="003E1B6B" w:rsidP="003E1B6B">
      <w:pPr>
        <w:pStyle w:val="NormalWeb"/>
        <w:rPr>
          <w:b/>
          <w:bCs/>
          <w:sz w:val="28"/>
          <w:szCs w:val="28"/>
        </w:rPr>
      </w:pPr>
      <w:r w:rsidRPr="00FB2CC2">
        <w:rPr>
          <w:b/>
          <w:bCs/>
          <w:sz w:val="28"/>
          <w:szCs w:val="28"/>
        </w:rPr>
        <w:t>1.1 Project Site Control &amp; Land Package</w:t>
      </w:r>
    </w:p>
    <w:p w14:paraId="2F7A5788" w14:textId="04C11CE8"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Site name and reference code:</w:t>
      </w:r>
      <w:r w:rsidRPr="00FB2CC2">
        <w:rPr>
          <w:sz w:val="28"/>
          <w:szCs w:val="28"/>
        </w:rPr>
        <w:br/>
      </w:r>
      <w:r w:rsidR="00EF0A8D" w:rsidRPr="00FB2CC2">
        <w:rPr>
          <w:sz w:val="28"/>
          <w:szCs w:val="28"/>
        </w:rPr>
        <w:t>DARK DATA COMPANY LTD</w:t>
      </w:r>
      <w:r w:rsidRPr="00FB2CC2">
        <w:rPr>
          <w:sz w:val="28"/>
          <w:szCs w:val="28"/>
        </w:rPr>
        <w:t xml:space="preserve"> Portugal </w:t>
      </w:r>
      <w:proofErr w:type="spellStart"/>
      <w:r w:rsidR="00EF0A8D" w:rsidRPr="00FB2CC2">
        <w:rPr>
          <w:sz w:val="28"/>
          <w:szCs w:val="28"/>
        </w:rPr>
        <w:t>Covilhã</w:t>
      </w:r>
      <w:proofErr w:type="spellEnd"/>
      <w:r w:rsidR="00EF0A8D" w:rsidRPr="00FB2CC2">
        <w:rPr>
          <w:rFonts w:ascii="Lato" w:hAnsi="Lato"/>
          <w:color w:val="000000"/>
          <w:sz w:val="20"/>
          <w:szCs w:val="20"/>
        </w:rPr>
        <w:t xml:space="preserve"> </w:t>
      </w:r>
      <w:r w:rsidRPr="00FB2CC2">
        <w:rPr>
          <w:sz w:val="28"/>
          <w:szCs w:val="28"/>
        </w:rPr>
        <w:t xml:space="preserve">Campus | Ref: </w:t>
      </w:r>
      <w:r w:rsidR="00EF0A8D" w:rsidRPr="00FB2CC2">
        <w:rPr>
          <w:sz w:val="28"/>
          <w:szCs w:val="28"/>
        </w:rPr>
        <w:t>DARK DATA COMPANY LTD</w:t>
      </w:r>
      <w:r w:rsidRPr="00FB2CC2">
        <w:rPr>
          <w:sz w:val="28"/>
          <w:szCs w:val="28"/>
        </w:rPr>
        <w:t>-PT-</w:t>
      </w:r>
      <w:r w:rsidR="00EF0A8D" w:rsidRPr="00FB2CC2">
        <w:rPr>
          <w:sz w:val="28"/>
          <w:szCs w:val="28"/>
        </w:rPr>
        <w:t>COV</w:t>
      </w:r>
      <w:r w:rsidRPr="00FB2CC2">
        <w:rPr>
          <w:sz w:val="28"/>
          <w:szCs w:val="28"/>
        </w:rPr>
        <w:t>-01</w:t>
      </w:r>
    </w:p>
    <w:p w14:paraId="037CC384" w14:textId="628ED649"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Full site address:</w:t>
      </w:r>
      <w:r w:rsidRPr="00FB2CC2">
        <w:rPr>
          <w:sz w:val="28"/>
          <w:szCs w:val="28"/>
        </w:rPr>
        <w:br/>
      </w:r>
      <w:r w:rsidR="00EF0A8D" w:rsidRPr="00FB2CC2">
        <w:rPr>
          <w:sz w:val="28"/>
          <w:szCs w:val="28"/>
        </w:rPr>
        <w:t xml:space="preserve">Transversal </w:t>
      </w:r>
      <w:proofErr w:type="spellStart"/>
      <w:r w:rsidR="00EF0A8D" w:rsidRPr="00FB2CC2">
        <w:rPr>
          <w:sz w:val="28"/>
          <w:szCs w:val="28"/>
        </w:rPr>
        <w:t>Rua</w:t>
      </w:r>
      <w:proofErr w:type="spellEnd"/>
      <w:r w:rsidR="00EF0A8D" w:rsidRPr="00FB2CC2">
        <w:rPr>
          <w:sz w:val="28"/>
          <w:szCs w:val="28"/>
        </w:rPr>
        <w:t xml:space="preserve"> da </w:t>
      </w:r>
      <w:proofErr w:type="spellStart"/>
      <w:r w:rsidR="00EF0A8D" w:rsidRPr="00FB2CC2">
        <w:rPr>
          <w:sz w:val="28"/>
          <w:szCs w:val="28"/>
        </w:rPr>
        <w:t>Grila</w:t>
      </w:r>
      <w:proofErr w:type="spellEnd"/>
      <w:r w:rsidR="00EF0A8D" w:rsidRPr="00FB2CC2">
        <w:rPr>
          <w:sz w:val="28"/>
          <w:szCs w:val="28"/>
        </w:rPr>
        <w:t xml:space="preserve"> 4, 6200-507 </w:t>
      </w:r>
      <w:proofErr w:type="spellStart"/>
      <w:r w:rsidR="00EF0A8D" w:rsidRPr="00FB2CC2">
        <w:rPr>
          <w:sz w:val="28"/>
          <w:szCs w:val="28"/>
        </w:rPr>
        <w:t>Covilhã</w:t>
      </w:r>
      <w:proofErr w:type="spellEnd"/>
      <w:r w:rsidR="00EF0A8D" w:rsidRPr="00FB2CC2">
        <w:rPr>
          <w:sz w:val="28"/>
          <w:szCs w:val="28"/>
        </w:rPr>
        <w:t xml:space="preserve">, </w:t>
      </w:r>
      <w:proofErr w:type="spellStart"/>
      <w:r w:rsidR="00EF0A8D" w:rsidRPr="00FB2CC2">
        <w:rPr>
          <w:sz w:val="28"/>
          <w:szCs w:val="28"/>
        </w:rPr>
        <w:t>Portuga</w:t>
      </w:r>
      <w:proofErr w:type="spellEnd"/>
    </w:p>
    <w:p w14:paraId="646560E3" w14:textId="56CE32C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Land ownership status:</w:t>
      </w:r>
      <w:r w:rsidRPr="00FB2CC2">
        <w:rPr>
          <w:sz w:val="28"/>
          <w:szCs w:val="28"/>
        </w:rPr>
        <w:br/>
        <w:t xml:space="preserve">Freehold (Acquisition </w:t>
      </w:r>
      <w:r w:rsidR="00EF0A8D" w:rsidRPr="00FB2CC2">
        <w:rPr>
          <w:sz w:val="28"/>
          <w:szCs w:val="28"/>
        </w:rPr>
        <w:t>pending</w:t>
      </w:r>
      <w:r w:rsidRPr="00FB2CC2">
        <w:rPr>
          <w:sz w:val="28"/>
          <w:szCs w:val="28"/>
        </w:rPr>
        <w:t>)</w:t>
      </w:r>
    </w:p>
    <w:p w14:paraId="2042DEAD"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Land Registry title number:</w:t>
      </w:r>
      <w:r w:rsidRPr="00FB2CC2">
        <w:rPr>
          <w:sz w:val="28"/>
          <w:szCs w:val="28"/>
        </w:rPr>
        <w:br/>
        <w:t>TBC — Portuguese Land Registry Title issued (available on file)</w:t>
      </w:r>
    </w:p>
    <w:p w14:paraId="40655024" w14:textId="7EB3C613" w:rsidR="003E1B6B" w:rsidRPr="00FB2CC2" w:rsidRDefault="003E1B6B" w:rsidP="00A37D9C">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Seller details:</w:t>
      </w:r>
      <w:r w:rsidRPr="00FB2CC2">
        <w:rPr>
          <w:sz w:val="28"/>
          <w:szCs w:val="28"/>
        </w:rPr>
        <w:br/>
      </w:r>
      <w:r w:rsidR="00A37D9C" w:rsidRPr="00FB2CC2">
        <w:rPr>
          <w:sz w:val="28"/>
          <w:szCs w:val="28"/>
        </w:rPr>
        <w:t xml:space="preserve">PT PORTUGAL SGPS, S.A., a Portuguese </w:t>
      </w:r>
      <w:proofErr w:type="spellStart"/>
      <w:r w:rsidR="00A37D9C" w:rsidRPr="00FB2CC2">
        <w:rPr>
          <w:sz w:val="28"/>
          <w:szCs w:val="28"/>
        </w:rPr>
        <w:t>sociedade</w:t>
      </w:r>
      <w:proofErr w:type="spellEnd"/>
      <w:r w:rsidR="00A37D9C" w:rsidRPr="00FB2CC2">
        <w:rPr>
          <w:sz w:val="28"/>
          <w:szCs w:val="28"/>
        </w:rPr>
        <w:t xml:space="preserve"> </w:t>
      </w:r>
      <w:proofErr w:type="spellStart"/>
      <w:r w:rsidR="00A37D9C" w:rsidRPr="00FB2CC2">
        <w:rPr>
          <w:sz w:val="28"/>
          <w:szCs w:val="28"/>
        </w:rPr>
        <w:t>anónima</w:t>
      </w:r>
      <w:proofErr w:type="spellEnd"/>
      <w:r w:rsidR="00A37D9C" w:rsidRPr="00FB2CC2">
        <w:rPr>
          <w:sz w:val="28"/>
          <w:szCs w:val="28"/>
        </w:rPr>
        <w:t xml:space="preserve">, with </w:t>
      </w:r>
      <w:r w:rsidR="00A37D9C" w:rsidRPr="00FB2CC2">
        <w:rPr>
          <w:sz w:val="28"/>
          <w:szCs w:val="28"/>
        </w:rPr>
        <w:lastRenderedPageBreak/>
        <w:t>registered offices at Av. Fontes Pereira de</w:t>
      </w:r>
      <w:r w:rsidR="007374F2" w:rsidRPr="00FB2CC2">
        <w:rPr>
          <w:sz w:val="28"/>
          <w:szCs w:val="28"/>
        </w:rPr>
        <w:t xml:space="preserve"> </w:t>
      </w:r>
      <w:r w:rsidR="00A37D9C" w:rsidRPr="00FB2CC2">
        <w:rPr>
          <w:sz w:val="28"/>
          <w:szCs w:val="28"/>
        </w:rPr>
        <w:t>Melo Lisbon, Portugal, taxpayer number 507690737</w:t>
      </w:r>
      <w:r w:rsidR="007374F2" w:rsidRPr="00FB2CC2">
        <w:rPr>
          <w:sz w:val="28"/>
          <w:szCs w:val="28"/>
        </w:rPr>
        <w:t xml:space="preserve"> </w:t>
      </w:r>
      <w:r w:rsidRPr="00FB2CC2">
        <w:rPr>
          <w:sz w:val="28"/>
          <w:szCs w:val="28"/>
        </w:rPr>
        <w:t>(previous landowner)</w:t>
      </w:r>
    </w:p>
    <w:p w14:paraId="09C03EE3"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Option agreement terms:</w:t>
      </w:r>
      <w:r w:rsidRPr="00FB2CC2">
        <w:rPr>
          <w:sz w:val="28"/>
          <w:szCs w:val="28"/>
        </w:rPr>
        <w:br/>
        <w:t>N/A — outright acquisition</w:t>
      </w:r>
    </w:p>
    <w:p w14:paraId="2F393AB8" w14:textId="62769A58"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Land value agreed or paid:</w:t>
      </w:r>
      <w:r w:rsidRPr="00FB2CC2">
        <w:rPr>
          <w:sz w:val="28"/>
          <w:szCs w:val="28"/>
        </w:rPr>
        <w:br/>
        <w:t>€</w:t>
      </w:r>
      <w:r w:rsidR="00A37D9C" w:rsidRPr="00FB2CC2">
        <w:rPr>
          <w:sz w:val="28"/>
          <w:szCs w:val="28"/>
        </w:rPr>
        <w:t>120</w:t>
      </w:r>
      <w:r w:rsidRPr="00FB2CC2">
        <w:rPr>
          <w:sz w:val="28"/>
          <w:szCs w:val="28"/>
        </w:rPr>
        <w:t xml:space="preserve"> million</w:t>
      </w:r>
      <w:r w:rsidR="007374F2" w:rsidRPr="00FB2CC2">
        <w:rPr>
          <w:sz w:val="28"/>
          <w:szCs w:val="28"/>
        </w:rPr>
        <w:t xml:space="preserve"> plus fees</w:t>
      </w:r>
    </w:p>
    <w:p w14:paraId="418E7DC9"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Encumbrances or easements:</w:t>
      </w:r>
      <w:r w:rsidRPr="00FB2CC2">
        <w:rPr>
          <w:sz w:val="28"/>
          <w:szCs w:val="28"/>
        </w:rPr>
        <w:br/>
        <w:t>No adverse encumbrances. Full clean title confirmed.</w:t>
      </w:r>
    </w:p>
    <w:p w14:paraId="127C52CD" w14:textId="369D0913"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Adjacent land expansion:</w:t>
      </w:r>
      <w:r w:rsidRPr="00FB2CC2">
        <w:rPr>
          <w:sz w:val="28"/>
          <w:szCs w:val="28"/>
        </w:rPr>
        <w:br/>
        <w:t xml:space="preserve">Adjacent parcels identified for potential </w:t>
      </w:r>
      <w:r w:rsidR="00A37D9C" w:rsidRPr="00FB2CC2">
        <w:rPr>
          <w:sz w:val="28"/>
          <w:szCs w:val="28"/>
        </w:rPr>
        <w:t>200</w:t>
      </w:r>
      <w:r w:rsidRPr="00FB2CC2">
        <w:rPr>
          <w:sz w:val="28"/>
          <w:szCs w:val="28"/>
        </w:rPr>
        <w:t>MW expansion phase.</w:t>
      </w:r>
    </w:p>
    <w:p w14:paraId="46814097"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Flood risk/environmental designations:</w:t>
      </w:r>
      <w:r w:rsidRPr="00FB2CC2">
        <w:rPr>
          <w:sz w:val="28"/>
          <w:szCs w:val="28"/>
        </w:rPr>
        <w:br/>
        <w:t>Low flood risk confirmed; no protected environmental designations.</w:t>
      </w:r>
    </w:p>
    <w:p w14:paraId="6797AA95"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Archaeological survey reports:</w:t>
      </w:r>
      <w:r w:rsidRPr="00FB2CC2">
        <w:rPr>
          <w:sz w:val="28"/>
          <w:szCs w:val="28"/>
        </w:rPr>
        <w:br/>
        <w:t>No findings of material concern (survey complete).</w:t>
      </w:r>
    </w:p>
    <w:p w14:paraId="40780C24" w14:textId="40C21C51"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Existing utility connections:</w:t>
      </w:r>
      <w:r w:rsidRPr="00FB2CC2">
        <w:rPr>
          <w:sz w:val="28"/>
          <w:szCs w:val="28"/>
        </w:rPr>
        <w:br/>
        <w:t>Legacy grid connection (6.8 MW live),</w:t>
      </w:r>
      <w:r w:rsidR="00A37D9C" w:rsidRPr="00FB2CC2">
        <w:rPr>
          <w:sz w:val="28"/>
          <w:szCs w:val="28"/>
        </w:rPr>
        <w:t xml:space="preserve"> application submitted for an additional 1</w:t>
      </w:r>
      <w:r w:rsidR="00107151">
        <w:rPr>
          <w:sz w:val="28"/>
          <w:szCs w:val="28"/>
        </w:rPr>
        <w:t>0</w:t>
      </w:r>
      <w:r w:rsidR="00A37D9C" w:rsidRPr="00FB2CC2">
        <w:rPr>
          <w:sz w:val="28"/>
          <w:szCs w:val="28"/>
        </w:rPr>
        <w:t>0MW,</w:t>
      </w:r>
      <w:r w:rsidRPr="00FB2CC2">
        <w:rPr>
          <w:sz w:val="28"/>
          <w:szCs w:val="28"/>
        </w:rPr>
        <w:t xml:space="preserve"> fibre trunk backbone present.</w:t>
      </w:r>
    </w:p>
    <w:p w14:paraId="58769E23"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Access rights:</w:t>
      </w:r>
      <w:r w:rsidRPr="00FB2CC2">
        <w:rPr>
          <w:sz w:val="28"/>
          <w:szCs w:val="28"/>
        </w:rPr>
        <w:br/>
        <w:t>Full legal access rights secured for site entry, utilities, and logistics.</w:t>
      </w:r>
    </w:p>
    <w:p w14:paraId="599D957B" w14:textId="77777777" w:rsidR="003E1B6B" w:rsidRPr="00FB2CC2" w:rsidRDefault="00DF03FD" w:rsidP="003E1B6B">
      <w:pPr>
        <w:pStyle w:val="NormalWeb"/>
        <w:rPr>
          <w:sz w:val="28"/>
          <w:szCs w:val="28"/>
        </w:rPr>
      </w:pPr>
      <w:r>
        <w:rPr>
          <w:sz w:val="28"/>
          <w:szCs w:val="28"/>
        </w:rPr>
        <w:pict w14:anchorId="6840D400">
          <v:rect id="_x0000_i1026" style="width:0;height:1.5pt" o:hralign="center" o:hrstd="t" o:hr="t" fillcolor="#a0a0a0" stroked="f"/>
        </w:pict>
      </w:r>
    </w:p>
    <w:p w14:paraId="0D7C77B0" w14:textId="77777777" w:rsidR="003E1B6B" w:rsidRPr="00FB2CC2" w:rsidRDefault="003E1B6B" w:rsidP="003E1B6B">
      <w:pPr>
        <w:pStyle w:val="NormalWeb"/>
        <w:rPr>
          <w:b/>
          <w:bCs/>
          <w:sz w:val="28"/>
          <w:szCs w:val="28"/>
        </w:rPr>
      </w:pPr>
      <w:r w:rsidRPr="00FB2CC2">
        <w:rPr>
          <w:b/>
          <w:bCs/>
          <w:sz w:val="28"/>
          <w:szCs w:val="28"/>
        </w:rPr>
        <w:t>1.2 Planning &amp; Development Approvals</w:t>
      </w:r>
    </w:p>
    <w:p w14:paraId="7B0852E8" w14:textId="312BCF98" w:rsidR="003E1B6B" w:rsidRPr="00FB2CC2" w:rsidRDefault="003E1B6B" w:rsidP="003E1B6B">
      <w:pPr>
        <w:pStyle w:val="NormalWeb"/>
        <w:rPr>
          <w:color w:val="FF0000"/>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Planning consent reference and dates:</w:t>
      </w:r>
      <w:r w:rsidRPr="00FB2CC2">
        <w:rPr>
          <w:sz w:val="28"/>
          <w:szCs w:val="28"/>
        </w:rPr>
        <w:br/>
      </w:r>
      <w:r w:rsidR="007374F2" w:rsidRPr="00FB2CC2">
        <w:rPr>
          <w:sz w:val="28"/>
          <w:szCs w:val="28"/>
        </w:rPr>
        <w:t>Planning approved</w:t>
      </w:r>
      <w:r w:rsidR="00472BC1">
        <w:rPr>
          <w:sz w:val="28"/>
          <w:szCs w:val="28"/>
        </w:rPr>
        <w:t>,</w:t>
      </w:r>
      <w:r w:rsidR="007374F2" w:rsidRPr="00FB2CC2">
        <w:rPr>
          <w:sz w:val="28"/>
          <w:szCs w:val="28"/>
        </w:rPr>
        <w:t xml:space="preserve"> and the </w:t>
      </w:r>
      <w:r w:rsidR="00472BC1">
        <w:rPr>
          <w:sz w:val="28"/>
          <w:szCs w:val="28"/>
        </w:rPr>
        <w:t xml:space="preserve">first </w:t>
      </w:r>
      <w:r w:rsidR="007374F2" w:rsidRPr="00FB2CC2">
        <w:rPr>
          <w:sz w:val="28"/>
          <w:szCs w:val="28"/>
        </w:rPr>
        <w:t>building was built in 2012</w:t>
      </w:r>
    </w:p>
    <w:p w14:paraId="0961826C" w14:textId="2E3439A6"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Planning conditions schedule:</w:t>
      </w:r>
      <w:r w:rsidRPr="00FB2CC2">
        <w:rPr>
          <w:sz w:val="28"/>
          <w:szCs w:val="28"/>
        </w:rPr>
        <w:br/>
      </w:r>
      <w:r w:rsidR="00472BC1">
        <w:rPr>
          <w:sz w:val="28"/>
          <w:szCs w:val="28"/>
        </w:rPr>
        <w:t>NA</w:t>
      </w:r>
      <w:r w:rsidRPr="00FB2CC2">
        <w:rPr>
          <w:sz w:val="28"/>
          <w:szCs w:val="28"/>
        </w:rPr>
        <w:t xml:space="preserve"> </w:t>
      </w:r>
    </w:p>
    <w:p w14:paraId="7CD531B0" w14:textId="71451A8E"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Outstanding pre-commencement conditions:</w:t>
      </w:r>
      <w:r w:rsidRPr="00FB2CC2">
        <w:rPr>
          <w:sz w:val="28"/>
          <w:szCs w:val="28"/>
        </w:rPr>
        <w:br/>
      </w:r>
      <w:r w:rsidR="00A37D9C" w:rsidRPr="00FB2CC2">
        <w:rPr>
          <w:sz w:val="28"/>
          <w:szCs w:val="28"/>
        </w:rPr>
        <w:t>NA</w:t>
      </w:r>
    </w:p>
    <w:p w14:paraId="19E01F95" w14:textId="7DDBB5D7" w:rsidR="003E1B6B" w:rsidRPr="00FB2CC2" w:rsidRDefault="003E1B6B" w:rsidP="003E1B6B">
      <w:pPr>
        <w:pStyle w:val="NormalWeb"/>
        <w:rPr>
          <w:sz w:val="28"/>
          <w:szCs w:val="28"/>
        </w:rPr>
      </w:pPr>
      <w:r w:rsidRPr="00FB2CC2">
        <w:rPr>
          <w:rFonts w:ascii="Segoe UI Symbol" w:hAnsi="Segoe UI Symbol" w:cs="Segoe UI Symbol"/>
          <w:sz w:val="28"/>
          <w:szCs w:val="28"/>
        </w:rPr>
        <w:lastRenderedPageBreak/>
        <w:t>☑</w:t>
      </w:r>
      <w:r w:rsidRPr="00FB2CC2">
        <w:rPr>
          <w:sz w:val="28"/>
          <w:szCs w:val="28"/>
        </w:rPr>
        <w:t xml:space="preserve"> </w:t>
      </w:r>
      <w:r w:rsidRPr="00FB2CC2">
        <w:rPr>
          <w:b/>
          <w:bCs/>
          <w:sz w:val="28"/>
          <w:szCs w:val="28"/>
        </w:rPr>
        <w:t>Planning appeals:</w:t>
      </w:r>
      <w:r w:rsidRPr="00FB2CC2">
        <w:rPr>
          <w:sz w:val="28"/>
          <w:szCs w:val="28"/>
        </w:rPr>
        <w:br/>
      </w:r>
      <w:r w:rsidR="007374F2" w:rsidRPr="00FB2CC2">
        <w:rPr>
          <w:sz w:val="28"/>
          <w:szCs w:val="28"/>
        </w:rPr>
        <w:t>Building one is built and planning approved for further buildings</w:t>
      </w:r>
    </w:p>
    <w:p w14:paraId="4628474F" w14:textId="49438E9E"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Community Infrastructure Levy obligations:</w:t>
      </w:r>
      <w:r w:rsidRPr="00FB2CC2">
        <w:rPr>
          <w:sz w:val="28"/>
          <w:szCs w:val="28"/>
        </w:rPr>
        <w:br/>
      </w:r>
      <w:r w:rsidR="00A37D9C" w:rsidRPr="00FB2CC2">
        <w:rPr>
          <w:sz w:val="28"/>
          <w:szCs w:val="28"/>
        </w:rPr>
        <w:t>TBC</w:t>
      </w:r>
    </w:p>
    <w:p w14:paraId="124473AD"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Zoning classification:</w:t>
      </w:r>
      <w:r w:rsidRPr="00FB2CC2">
        <w:rPr>
          <w:sz w:val="28"/>
          <w:szCs w:val="28"/>
        </w:rPr>
        <w:br/>
        <w:t>Designated industrial / technology zone</w:t>
      </w:r>
    </w:p>
    <w:p w14:paraId="67165C62" w14:textId="3E744688"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Regional development compatibility:</w:t>
      </w:r>
      <w:r w:rsidRPr="00FB2CC2">
        <w:rPr>
          <w:sz w:val="28"/>
          <w:szCs w:val="28"/>
        </w:rPr>
        <w:br/>
      </w:r>
      <w:r w:rsidR="00A37D9C" w:rsidRPr="00FB2CC2">
        <w:rPr>
          <w:sz w:val="28"/>
          <w:szCs w:val="28"/>
        </w:rPr>
        <w:t>Planning permission granted</w:t>
      </w:r>
    </w:p>
    <w:p w14:paraId="5FE2FFB4" w14:textId="17508FDC"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Environmental Impact Assessment (EIA):</w:t>
      </w:r>
      <w:r w:rsidRPr="00FB2CC2">
        <w:rPr>
          <w:sz w:val="28"/>
          <w:szCs w:val="28"/>
        </w:rPr>
        <w:br/>
      </w:r>
      <w:r w:rsidR="00A37D9C" w:rsidRPr="00FB2CC2">
        <w:rPr>
          <w:sz w:val="28"/>
          <w:szCs w:val="28"/>
        </w:rPr>
        <w:t>NA – Planning Approved</w:t>
      </w:r>
    </w:p>
    <w:p w14:paraId="22789002"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Regulatory permits/licenses:</w:t>
      </w:r>
      <w:r w:rsidRPr="00FB2CC2">
        <w:rPr>
          <w:sz w:val="28"/>
          <w:szCs w:val="28"/>
        </w:rPr>
        <w:br/>
        <w:t>Construction license and operational permits secured</w:t>
      </w:r>
    </w:p>
    <w:p w14:paraId="06395A9F" w14:textId="77777777" w:rsidR="003E1B6B" w:rsidRPr="00FB2CC2" w:rsidRDefault="00DF03FD" w:rsidP="003E1B6B">
      <w:pPr>
        <w:pStyle w:val="NormalWeb"/>
        <w:rPr>
          <w:sz w:val="28"/>
          <w:szCs w:val="28"/>
        </w:rPr>
      </w:pPr>
      <w:r>
        <w:rPr>
          <w:sz w:val="28"/>
          <w:szCs w:val="28"/>
        </w:rPr>
        <w:pict w14:anchorId="1A11F7B1">
          <v:rect id="_x0000_i1027" style="width:0;height:1.5pt" o:hralign="center" o:hrstd="t" o:hr="t" fillcolor="#a0a0a0" stroked="f"/>
        </w:pict>
      </w:r>
    </w:p>
    <w:p w14:paraId="61563A96" w14:textId="77777777" w:rsidR="003E1B6B" w:rsidRPr="00FB2CC2" w:rsidRDefault="003E1B6B" w:rsidP="003E1B6B">
      <w:pPr>
        <w:pStyle w:val="NormalWeb"/>
        <w:rPr>
          <w:b/>
          <w:bCs/>
          <w:sz w:val="28"/>
          <w:szCs w:val="28"/>
        </w:rPr>
      </w:pPr>
      <w:r w:rsidRPr="00FB2CC2">
        <w:rPr>
          <w:b/>
          <w:bCs/>
          <w:sz w:val="28"/>
          <w:szCs w:val="28"/>
        </w:rPr>
        <w:t>1.3 Grid Connection &amp; Utilities</w:t>
      </w:r>
    </w:p>
    <w:p w14:paraId="44126881"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Grid operator identity:</w:t>
      </w:r>
      <w:r w:rsidRPr="00FB2CC2">
        <w:rPr>
          <w:sz w:val="28"/>
          <w:szCs w:val="28"/>
        </w:rPr>
        <w:br/>
        <w:t xml:space="preserve">REN Redes </w:t>
      </w:r>
      <w:proofErr w:type="spellStart"/>
      <w:r w:rsidRPr="00FB2CC2">
        <w:rPr>
          <w:sz w:val="28"/>
          <w:szCs w:val="28"/>
        </w:rPr>
        <w:t>Energéticas</w:t>
      </w:r>
      <w:proofErr w:type="spellEnd"/>
      <w:r w:rsidRPr="00FB2CC2">
        <w:rPr>
          <w:sz w:val="28"/>
          <w:szCs w:val="28"/>
        </w:rPr>
        <w:t xml:space="preserve"> </w:t>
      </w:r>
      <w:proofErr w:type="spellStart"/>
      <w:r w:rsidRPr="00FB2CC2">
        <w:rPr>
          <w:sz w:val="28"/>
          <w:szCs w:val="28"/>
        </w:rPr>
        <w:t>Nacionais</w:t>
      </w:r>
      <w:proofErr w:type="spellEnd"/>
      <w:r w:rsidRPr="00FB2CC2">
        <w:rPr>
          <w:sz w:val="28"/>
          <w:szCs w:val="28"/>
        </w:rPr>
        <w:t xml:space="preserve"> (Portugal national TSO)</w:t>
      </w:r>
    </w:p>
    <w:p w14:paraId="113FF8CE" w14:textId="41A5059C"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Connection agreement reference:</w:t>
      </w:r>
      <w:r w:rsidRPr="00FB2CC2">
        <w:rPr>
          <w:sz w:val="28"/>
          <w:szCs w:val="28"/>
        </w:rPr>
        <w:br/>
      </w:r>
      <w:r w:rsidR="00472BC1" w:rsidRPr="00472BC1">
        <w:rPr>
          <w:sz w:val="28"/>
          <w:szCs w:val="28"/>
        </w:rPr>
        <w:t>TBC</w:t>
      </w:r>
    </w:p>
    <w:p w14:paraId="5E38A571" w14:textId="2423C4E8"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MW capacity secured:</w:t>
      </w:r>
      <w:r w:rsidRPr="00FB2CC2">
        <w:rPr>
          <w:sz w:val="28"/>
          <w:szCs w:val="28"/>
        </w:rPr>
        <w:br/>
      </w:r>
      <w:r w:rsidR="007374F2" w:rsidRPr="00FB2CC2">
        <w:rPr>
          <w:sz w:val="28"/>
          <w:szCs w:val="28"/>
        </w:rPr>
        <w:t>1</w:t>
      </w:r>
      <w:r w:rsidR="001E5376" w:rsidRPr="00FB2CC2">
        <w:rPr>
          <w:sz w:val="28"/>
          <w:szCs w:val="28"/>
        </w:rPr>
        <w:t>0</w:t>
      </w:r>
      <w:r w:rsidR="007374F2" w:rsidRPr="00FB2CC2">
        <w:rPr>
          <w:sz w:val="28"/>
          <w:szCs w:val="28"/>
        </w:rPr>
        <w:t>0</w:t>
      </w:r>
      <w:r w:rsidRPr="00FB2CC2">
        <w:rPr>
          <w:sz w:val="28"/>
          <w:szCs w:val="28"/>
        </w:rPr>
        <w:t xml:space="preserve"> MW </w:t>
      </w:r>
      <w:r w:rsidR="007374F2" w:rsidRPr="00FB2CC2">
        <w:rPr>
          <w:sz w:val="28"/>
          <w:szCs w:val="28"/>
        </w:rPr>
        <w:t xml:space="preserve">gross power </w:t>
      </w:r>
      <w:r w:rsidR="001E5376" w:rsidRPr="00FB2CC2">
        <w:rPr>
          <w:sz w:val="28"/>
          <w:szCs w:val="28"/>
        </w:rPr>
        <w:t>‘</w:t>
      </w:r>
      <w:r w:rsidRPr="00FB2CC2">
        <w:rPr>
          <w:sz w:val="28"/>
          <w:szCs w:val="28"/>
        </w:rPr>
        <w:t>secured</w:t>
      </w:r>
      <w:r w:rsidR="001E5376" w:rsidRPr="00FB2CC2">
        <w:rPr>
          <w:sz w:val="28"/>
          <w:szCs w:val="28"/>
        </w:rPr>
        <w:t>’</w:t>
      </w:r>
      <w:r w:rsidRPr="00FB2CC2">
        <w:rPr>
          <w:sz w:val="28"/>
          <w:szCs w:val="28"/>
        </w:rPr>
        <w:t xml:space="preserve"> (i</w:t>
      </w:r>
      <w:r w:rsidR="001E5376" w:rsidRPr="00FB2CC2">
        <w:rPr>
          <w:sz w:val="28"/>
          <w:szCs w:val="28"/>
        </w:rPr>
        <w:t>n addition to the</w:t>
      </w:r>
      <w:r w:rsidRPr="00FB2CC2">
        <w:rPr>
          <w:sz w:val="28"/>
          <w:szCs w:val="28"/>
        </w:rPr>
        <w:t xml:space="preserve"> live 6.8 MW)</w:t>
      </w:r>
    </w:p>
    <w:p w14:paraId="3E2FB924" w14:textId="2FD68C6E"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Scheduled connection date:</w:t>
      </w:r>
      <w:r w:rsidRPr="00FB2CC2">
        <w:rPr>
          <w:sz w:val="28"/>
          <w:szCs w:val="28"/>
        </w:rPr>
        <w:br/>
      </w:r>
      <w:r w:rsidR="00472BC1">
        <w:rPr>
          <w:sz w:val="28"/>
          <w:szCs w:val="28"/>
        </w:rPr>
        <w:t xml:space="preserve">Expected </w:t>
      </w:r>
      <w:r w:rsidRPr="00FB2CC2">
        <w:rPr>
          <w:sz w:val="28"/>
          <w:szCs w:val="28"/>
        </w:rPr>
        <w:t>July 202</w:t>
      </w:r>
      <w:r w:rsidR="001E5376" w:rsidRPr="00FB2CC2">
        <w:rPr>
          <w:sz w:val="28"/>
          <w:szCs w:val="28"/>
        </w:rPr>
        <w:t>6</w:t>
      </w:r>
    </w:p>
    <w:p w14:paraId="47DE72CB" w14:textId="5A80258E"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Total connection costs:</w:t>
      </w:r>
      <w:r w:rsidRPr="00FB2CC2">
        <w:rPr>
          <w:sz w:val="28"/>
          <w:szCs w:val="28"/>
        </w:rPr>
        <w:br/>
        <w:t>€5</w:t>
      </w:r>
      <w:r w:rsidR="001E5376" w:rsidRPr="00FB2CC2">
        <w:rPr>
          <w:sz w:val="28"/>
          <w:szCs w:val="28"/>
        </w:rPr>
        <w:t>6</w:t>
      </w:r>
      <w:r w:rsidRPr="00FB2CC2">
        <w:rPr>
          <w:sz w:val="28"/>
          <w:szCs w:val="28"/>
        </w:rPr>
        <w:t xml:space="preserve"> million (including substation</w:t>
      </w:r>
      <w:r w:rsidR="001E5376" w:rsidRPr="00FB2CC2">
        <w:rPr>
          <w:sz w:val="28"/>
          <w:szCs w:val="28"/>
        </w:rPr>
        <w:t>, HV, MV</w:t>
      </w:r>
      <w:r w:rsidRPr="00FB2CC2">
        <w:rPr>
          <w:sz w:val="28"/>
          <w:szCs w:val="28"/>
        </w:rPr>
        <w:t xml:space="preserve"> and interface buildout)</w:t>
      </w:r>
    </w:p>
    <w:p w14:paraId="3BE6B1FC"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Reinforcement obligations:</w:t>
      </w:r>
      <w:r w:rsidRPr="00FB2CC2">
        <w:rPr>
          <w:sz w:val="28"/>
          <w:szCs w:val="28"/>
        </w:rPr>
        <w:br/>
        <w:t>None required beyond primary substation works</w:t>
      </w:r>
    </w:p>
    <w:p w14:paraId="1C46DB07" w14:textId="4FA71DFE" w:rsidR="003E1B6B" w:rsidRPr="00FB2CC2" w:rsidRDefault="003E1B6B" w:rsidP="003E1B6B">
      <w:pPr>
        <w:pStyle w:val="NormalWeb"/>
        <w:rPr>
          <w:sz w:val="28"/>
          <w:szCs w:val="28"/>
        </w:rPr>
      </w:pPr>
      <w:r w:rsidRPr="00FB2CC2">
        <w:rPr>
          <w:rFonts w:ascii="Segoe UI Symbol" w:hAnsi="Segoe UI Symbol" w:cs="Segoe UI Symbol"/>
          <w:sz w:val="28"/>
          <w:szCs w:val="28"/>
        </w:rPr>
        <w:lastRenderedPageBreak/>
        <w:t>☑</w:t>
      </w:r>
      <w:r w:rsidRPr="00FB2CC2">
        <w:rPr>
          <w:sz w:val="28"/>
          <w:szCs w:val="28"/>
        </w:rPr>
        <w:t xml:space="preserve"> </w:t>
      </w:r>
      <w:r w:rsidRPr="00FB2CC2">
        <w:rPr>
          <w:b/>
          <w:bCs/>
          <w:sz w:val="28"/>
          <w:szCs w:val="28"/>
        </w:rPr>
        <w:t>Backup power arrangements:</w:t>
      </w:r>
      <w:r w:rsidRPr="00FB2CC2">
        <w:rPr>
          <w:sz w:val="28"/>
          <w:szCs w:val="28"/>
        </w:rPr>
        <w:br/>
      </w:r>
      <w:r w:rsidR="001E5376" w:rsidRPr="00FB2CC2">
        <w:rPr>
          <w:sz w:val="28"/>
          <w:szCs w:val="28"/>
        </w:rPr>
        <w:t>Distributed</w:t>
      </w:r>
      <w:r w:rsidRPr="00FB2CC2">
        <w:rPr>
          <w:sz w:val="28"/>
          <w:szCs w:val="28"/>
        </w:rPr>
        <w:t xml:space="preserve"> redundancy </w:t>
      </w:r>
      <w:r w:rsidR="001E5376" w:rsidRPr="00FB2CC2">
        <w:rPr>
          <w:sz w:val="28"/>
          <w:szCs w:val="28"/>
        </w:rPr>
        <w:t xml:space="preserve">via </w:t>
      </w:r>
      <w:r w:rsidRPr="00FB2CC2">
        <w:rPr>
          <w:sz w:val="28"/>
          <w:szCs w:val="28"/>
        </w:rPr>
        <w:t>on-site BESS layer</w:t>
      </w:r>
    </w:p>
    <w:p w14:paraId="654D6426" w14:textId="68CCF7A9"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Utility contracts for water/fibre:</w:t>
      </w:r>
      <w:r w:rsidR="001E5376" w:rsidRPr="00FB2CC2">
        <w:rPr>
          <w:b/>
          <w:bCs/>
          <w:sz w:val="28"/>
          <w:szCs w:val="28"/>
        </w:rPr>
        <w:t>’</w:t>
      </w:r>
      <w:r w:rsidRPr="00FB2CC2">
        <w:rPr>
          <w:sz w:val="28"/>
          <w:szCs w:val="28"/>
        </w:rPr>
        <w:br/>
        <w:t xml:space="preserve">Municipal water </w:t>
      </w:r>
      <w:proofErr w:type="gramStart"/>
      <w:r w:rsidRPr="00FB2CC2">
        <w:rPr>
          <w:sz w:val="28"/>
          <w:szCs w:val="28"/>
        </w:rPr>
        <w:t>secured</w:t>
      </w:r>
      <w:r w:rsidR="00E54B9F" w:rsidRPr="00FB2CC2">
        <w:rPr>
          <w:sz w:val="28"/>
          <w:szCs w:val="28"/>
        </w:rPr>
        <w:t>,</w:t>
      </w:r>
      <w:proofErr w:type="gramEnd"/>
      <w:r w:rsidR="00E54B9F" w:rsidRPr="00FB2CC2">
        <w:rPr>
          <w:sz w:val="28"/>
          <w:szCs w:val="28"/>
        </w:rPr>
        <w:t xml:space="preserve"> </w:t>
      </w:r>
      <w:r w:rsidR="001E5376" w:rsidRPr="00FB2CC2">
        <w:rPr>
          <w:sz w:val="28"/>
          <w:szCs w:val="28"/>
        </w:rPr>
        <w:t xml:space="preserve">the </w:t>
      </w:r>
      <w:r w:rsidR="00E54B9F" w:rsidRPr="00FB2CC2">
        <w:rPr>
          <w:sz w:val="28"/>
          <w:szCs w:val="28"/>
        </w:rPr>
        <w:t xml:space="preserve">new development </w:t>
      </w:r>
      <w:r w:rsidR="001E5376" w:rsidRPr="00FB2CC2">
        <w:rPr>
          <w:sz w:val="28"/>
          <w:szCs w:val="28"/>
        </w:rPr>
        <w:t>is ‘</w:t>
      </w:r>
      <w:r w:rsidR="00E54B9F" w:rsidRPr="00FB2CC2">
        <w:rPr>
          <w:sz w:val="28"/>
          <w:szCs w:val="28"/>
        </w:rPr>
        <w:t>closed loop</w:t>
      </w:r>
      <w:r w:rsidR="00107151">
        <w:rPr>
          <w:sz w:val="28"/>
          <w:szCs w:val="28"/>
        </w:rPr>
        <w:t>’</w:t>
      </w:r>
      <w:r w:rsidRPr="00FB2CC2">
        <w:rPr>
          <w:sz w:val="28"/>
          <w:szCs w:val="28"/>
        </w:rPr>
        <w:t xml:space="preserve"> | Fibre via Altice Portugal backbone</w:t>
      </w:r>
    </w:p>
    <w:p w14:paraId="6507E004"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Onsite microgrid systems:</w:t>
      </w:r>
      <w:r w:rsidRPr="00FB2CC2">
        <w:rPr>
          <w:sz w:val="28"/>
          <w:szCs w:val="28"/>
        </w:rPr>
        <w:br/>
        <w:t>BESS microgrid integrated for peak load smoothing</w:t>
      </w:r>
    </w:p>
    <w:p w14:paraId="7A29EDF7" w14:textId="1A45FF3D"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Renewable PPA status:</w:t>
      </w:r>
      <w:r w:rsidRPr="00FB2CC2">
        <w:rPr>
          <w:sz w:val="28"/>
          <w:szCs w:val="28"/>
        </w:rPr>
        <w:br/>
        <w:t>PPA secured for 15-year solar/wind blend</w:t>
      </w:r>
    </w:p>
    <w:p w14:paraId="359B07E1"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Curtailment indemnity arrangements:</w:t>
      </w:r>
      <w:r w:rsidRPr="00FB2CC2">
        <w:rPr>
          <w:sz w:val="28"/>
          <w:szCs w:val="28"/>
        </w:rPr>
        <w:br/>
        <w:t>Curtailment protections embedded in PPA terms</w:t>
      </w:r>
    </w:p>
    <w:p w14:paraId="178A12FD"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Pass-through power pricing:</w:t>
      </w:r>
      <w:r w:rsidRPr="00FB2CC2">
        <w:rPr>
          <w:sz w:val="28"/>
          <w:szCs w:val="28"/>
        </w:rPr>
        <w:br/>
        <w:t>Full pass-through to tenant (no landlord retention)</w:t>
      </w:r>
    </w:p>
    <w:p w14:paraId="27073BFE" w14:textId="77777777" w:rsidR="003E1B6B" w:rsidRPr="00FB2CC2" w:rsidRDefault="00DF03FD" w:rsidP="003E1B6B">
      <w:pPr>
        <w:pStyle w:val="NormalWeb"/>
        <w:rPr>
          <w:sz w:val="28"/>
          <w:szCs w:val="28"/>
        </w:rPr>
      </w:pPr>
      <w:r>
        <w:rPr>
          <w:sz w:val="28"/>
          <w:szCs w:val="28"/>
        </w:rPr>
        <w:pict w14:anchorId="3E580629">
          <v:rect id="_x0000_i1028" style="width:0;height:1.5pt" o:hralign="center" o:hrstd="t" o:hr="t" fillcolor="#a0a0a0" stroked="f"/>
        </w:pict>
      </w:r>
    </w:p>
    <w:p w14:paraId="5B954F12" w14:textId="77777777" w:rsidR="003E1B6B" w:rsidRPr="00FB2CC2" w:rsidRDefault="003E1B6B" w:rsidP="003E1B6B">
      <w:pPr>
        <w:pStyle w:val="NormalWeb"/>
        <w:rPr>
          <w:b/>
          <w:bCs/>
          <w:sz w:val="28"/>
          <w:szCs w:val="28"/>
        </w:rPr>
      </w:pPr>
      <w:r w:rsidRPr="00FB2CC2">
        <w:rPr>
          <w:b/>
          <w:bCs/>
          <w:sz w:val="28"/>
          <w:szCs w:val="28"/>
        </w:rPr>
        <w:t>1.4 Construction Budget (Open Book CAPEX)</w:t>
      </w:r>
    </w:p>
    <w:p w14:paraId="0A07508A"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Detailed itemised build cost categories: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44"/>
        <w:gridCol w:w="2398"/>
      </w:tblGrid>
      <w:tr w:rsidR="003E1B6B" w:rsidRPr="00FB2CC2" w14:paraId="6E0BFEED" w14:textId="77777777" w:rsidTr="003E1B6B">
        <w:trPr>
          <w:tblHeader/>
          <w:tblCellSpacing w:w="15" w:type="dxa"/>
        </w:trPr>
        <w:tc>
          <w:tcPr>
            <w:tcW w:w="0" w:type="auto"/>
            <w:vAlign w:val="center"/>
            <w:hideMark/>
          </w:tcPr>
          <w:p w14:paraId="55A9804B" w14:textId="77777777" w:rsidR="003E1B6B" w:rsidRPr="00FB2CC2" w:rsidRDefault="003E1B6B" w:rsidP="003E1B6B">
            <w:pPr>
              <w:pStyle w:val="NormalWeb"/>
              <w:rPr>
                <w:b/>
                <w:bCs/>
                <w:sz w:val="28"/>
                <w:szCs w:val="28"/>
              </w:rPr>
            </w:pPr>
            <w:r w:rsidRPr="00FB2CC2">
              <w:rPr>
                <w:b/>
                <w:bCs/>
                <w:sz w:val="28"/>
                <w:szCs w:val="28"/>
              </w:rPr>
              <w:t>Cost Category</w:t>
            </w:r>
          </w:p>
        </w:tc>
        <w:tc>
          <w:tcPr>
            <w:tcW w:w="0" w:type="auto"/>
            <w:vAlign w:val="center"/>
            <w:hideMark/>
          </w:tcPr>
          <w:p w14:paraId="62ABA5FE" w14:textId="77777777" w:rsidR="003E1B6B" w:rsidRPr="00FB2CC2" w:rsidRDefault="003E1B6B" w:rsidP="003E1B6B">
            <w:pPr>
              <w:pStyle w:val="NormalWeb"/>
              <w:rPr>
                <w:b/>
                <w:bCs/>
                <w:sz w:val="28"/>
                <w:szCs w:val="28"/>
              </w:rPr>
            </w:pPr>
            <w:r w:rsidRPr="00FB2CC2">
              <w:rPr>
                <w:b/>
                <w:bCs/>
                <w:sz w:val="28"/>
                <w:szCs w:val="28"/>
              </w:rPr>
              <w:t>Budget Amount (€)</w:t>
            </w:r>
          </w:p>
        </w:tc>
      </w:tr>
      <w:tr w:rsidR="001E5376" w:rsidRPr="00FB2CC2" w14:paraId="5CFBEC16" w14:textId="77777777" w:rsidTr="00990AE0">
        <w:trPr>
          <w:tblCellSpacing w:w="15" w:type="dxa"/>
        </w:trPr>
        <w:tc>
          <w:tcPr>
            <w:tcW w:w="0" w:type="auto"/>
            <w:vAlign w:val="center"/>
            <w:hideMark/>
          </w:tcPr>
          <w:p w14:paraId="5D3FBB63" w14:textId="77777777" w:rsidR="001E5376" w:rsidRPr="00FB2CC2" w:rsidRDefault="001E5376" w:rsidP="001E5376">
            <w:pPr>
              <w:pStyle w:val="NormalWeb"/>
              <w:rPr>
                <w:sz w:val="28"/>
                <w:szCs w:val="28"/>
              </w:rPr>
            </w:pPr>
            <w:r w:rsidRPr="00FB2CC2">
              <w:rPr>
                <w:sz w:val="28"/>
                <w:szCs w:val="28"/>
              </w:rPr>
              <w:t>Architectural</w:t>
            </w:r>
          </w:p>
        </w:tc>
        <w:tc>
          <w:tcPr>
            <w:tcW w:w="0" w:type="auto"/>
            <w:hideMark/>
          </w:tcPr>
          <w:p w14:paraId="7104B761" w14:textId="679F7E2E" w:rsidR="001E5376" w:rsidRPr="00FB2CC2" w:rsidRDefault="001E5376" w:rsidP="001E5376">
            <w:pPr>
              <w:pStyle w:val="NormalWeb"/>
              <w:rPr>
                <w:sz w:val="28"/>
                <w:szCs w:val="28"/>
              </w:rPr>
            </w:pPr>
            <w:r w:rsidRPr="00FB2CC2">
              <w:rPr>
                <w:sz w:val="28"/>
                <w:szCs w:val="28"/>
              </w:rPr>
              <w:t>€2,938,034</w:t>
            </w:r>
          </w:p>
        </w:tc>
      </w:tr>
      <w:tr w:rsidR="001E5376" w:rsidRPr="00FB2CC2" w14:paraId="2C5F9BB1" w14:textId="77777777" w:rsidTr="00990AE0">
        <w:trPr>
          <w:tblCellSpacing w:w="15" w:type="dxa"/>
        </w:trPr>
        <w:tc>
          <w:tcPr>
            <w:tcW w:w="0" w:type="auto"/>
            <w:vAlign w:val="center"/>
            <w:hideMark/>
          </w:tcPr>
          <w:p w14:paraId="479CFEE7" w14:textId="77777777" w:rsidR="001E5376" w:rsidRPr="00FB2CC2" w:rsidRDefault="001E5376" w:rsidP="001E5376">
            <w:pPr>
              <w:pStyle w:val="NormalWeb"/>
              <w:rPr>
                <w:sz w:val="28"/>
                <w:szCs w:val="28"/>
              </w:rPr>
            </w:pPr>
            <w:r w:rsidRPr="00FB2CC2">
              <w:rPr>
                <w:sz w:val="28"/>
                <w:szCs w:val="28"/>
              </w:rPr>
              <w:t>Civil and Structural</w:t>
            </w:r>
          </w:p>
        </w:tc>
        <w:tc>
          <w:tcPr>
            <w:tcW w:w="0" w:type="auto"/>
            <w:hideMark/>
          </w:tcPr>
          <w:p w14:paraId="6CEBC7DF" w14:textId="011D603B" w:rsidR="001E5376" w:rsidRPr="00FB2CC2" w:rsidRDefault="001E5376" w:rsidP="001E5376">
            <w:pPr>
              <w:pStyle w:val="NormalWeb"/>
              <w:rPr>
                <w:sz w:val="28"/>
                <w:szCs w:val="28"/>
              </w:rPr>
            </w:pPr>
            <w:r w:rsidRPr="00FB2CC2">
              <w:rPr>
                <w:sz w:val="28"/>
                <w:szCs w:val="28"/>
              </w:rPr>
              <w:t>€2,980,016</w:t>
            </w:r>
          </w:p>
        </w:tc>
      </w:tr>
      <w:tr w:rsidR="001E5376" w:rsidRPr="00FB2CC2" w14:paraId="1C7B44CA" w14:textId="77777777" w:rsidTr="00990AE0">
        <w:trPr>
          <w:tblCellSpacing w:w="15" w:type="dxa"/>
        </w:trPr>
        <w:tc>
          <w:tcPr>
            <w:tcW w:w="0" w:type="auto"/>
            <w:vAlign w:val="center"/>
            <w:hideMark/>
          </w:tcPr>
          <w:p w14:paraId="6AE49B82" w14:textId="77777777" w:rsidR="001E5376" w:rsidRPr="00FB2CC2" w:rsidRDefault="001E5376" w:rsidP="001E5376">
            <w:pPr>
              <w:pStyle w:val="NormalWeb"/>
              <w:rPr>
                <w:sz w:val="28"/>
                <w:szCs w:val="28"/>
              </w:rPr>
            </w:pPr>
            <w:r w:rsidRPr="00FB2CC2">
              <w:rPr>
                <w:sz w:val="28"/>
                <w:szCs w:val="28"/>
              </w:rPr>
              <w:t>Substations</w:t>
            </w:r>
          </w:p>
        </w:tc>
        <w:tc>
          <w:tcPr>
            <w:tcW w:w="0" w:type="auto"/>
            <w:hideMark/>
          </w:tcPr>
          <w:p w14:paraId="5F2EABA2" w14:textId="53B186DA" w:rsidR="001E5376" w:rsidRPr="00FB2CC2" w:rsidRDefault="001E5376" w:rsidP="001E5376">
            <w:pPr>
              <w:pStyle w:val="NormalWeb"/>
              <w:rPr>
                <w:sz w:val="28"/>
                <w:szCs w:val="28"/>
              </w:rPr>
            </w:pPr>
            <w:r w:rsidRPr="00FB2CC2">
              <w:rPr>
                <w:sz w:val="28"/>
                <w:szCs w:val="28"/>
              </w:rPr>
              <w:t>€40,653,579</w:t>
            </w:r>
          </w:p>
        </w:tc>
      </w:tr>
      <w:tr w:rsidR="001E5376" w:rsidRPr="00FB2CC2" w14:paraId="59800FD8" w14:textId="77777777" w:rsidTr="00990AE0">
        <w:trPr>
          <w:tblCellSpacing w:w="15" w:type="dxa"/>
        </w:trPr>
        <w:tc>
          <w:tcPr>
            <w:tcW w:w="0" w:type="auto"/>
            <w:vAlign w:val="center"/>
            <w:hideMark/>
          </w:tcPr>
          <w:p w14:paraId="400AB22E" w14:textId="77777777" w:rsidR="001E5376" w:rsidRPr="00FB2CC2" w:rsidRDefault="001E5376" w:rsidP="001E5376">
            <w:pPr>
              <w:pStyle w:val="NormalWeb"/>
              <w:rPr>
                <w:sz w:val="28"/>
                <w:szCs w:val="28"/>
              </w:rPr>
            </w:pPr>
            <w:r w:rsidRPr="00FB2CC2">
              <w:rPr>
                <w:sz w:val="28"/>
                <w:szCs w:val="28"/>
              </w:rPr>
              <w:t>Underground utilities</w:t>
            </w:r>
          </w:p>
        </w:tc>
        <w:tc>
          <w:tcPr>
            <w:tcW w:w="0" w:type="auto"/>
            <w:hideMark/>
          </w:tcPr>
          <w:p w14:paraId="75625C69" w14:textId="7ED078FA" w:rsidR="001E5376" w:rsidRPr="00FB2CC2" w:rsidRDefault="001E5376" w:rsidP="001E5376">
            <w:pPr>
              <w:pStyle w:val="NormalWeb"/>
              <w:rPr>
                <w:sz w:val="28"/>
                <w:szCs w:val="28"/>
              </w:rPr>
            </w:pPr>
            <w:r w:rsidRPr="00FB2CC2">
              <w:rPr>
                <w:sz w:val="28"/>
                <w:szCs w:val="28"/>
              </w:rPr>
              <w:t>€1,391,115</w:t>
            </w:r>
          </w:p>
        </w:tc>
      </w:tr>
      <w:tr w:rsidR="001E5376" w:rsidRPr="00FB2CC2" w14:paraId="6C141B08" w14:textId="77777777" w:rsidTr="00990AE0">
        <w:trPr>
          <w:tblCellSpacing w:w="15" w:type="dxa"/>
        </w:trPr>
        <w:tc>
          <w:tcPr>
            <w:tcW w:w="0" w:type="auto"/>
            <w:vAlign w:val="center"/>
            <w:hideMark/>
          </w:tcPr>
          <w:p w14:paraId="20ECBA4C" w14:textId="77777777" w:rsidR="001E5376" w:rsidRPr="00FB2CC2" w:rsidRDefault="001E5376" w:rsidP="001E5376">
            <w:pPr>
              <w:pStyle w:val="NormalWeb"/>
              <w:rPr>
                <w:sz w:val="28"/>
                <w:szCs w:val="28"/>
              </w:rPr>
            </w:pPr>
            <w:r w:rsidRPr="00FB2CC2">
              <w:rPr>
                <w:sz w:val="28"/>
                <w:szCs w:val="28"/>
              </w:rPr>
              <w:t>Factory Built Crusader (incl. design)</w:t>
            </w:r>
          </w:p>
        </w:tc>
        <w:tc>
          <w:tcPr>
            <w:tcW w:w="0" w:type="auto"/>
            <w:hideMark/>
          </w:tcPr>
          <w:p w14:paraId="34B3AD82" w14:textId="7DCBBA0E" w:rsidR="001E5376" w:rsidRPr="00FB2CC2" w:rsidRDefault="001E5376" w:rsidP="001E5376">
            <w:pPr>
              <w:pStyle w:val="NormalWeb"/>
              <w:rPr>
                <w:sz w:val="28"/>
                <w:szCs w:val="28"/>
              </w:rPr>
            </w:pPr>
            <w:r w:rsidRPr="00FB2CC2">
              <w:rPr>
                <w:sz w:val="28"/>
                <w:szCs w:val="28"/>
              </w:rPr>
              <w:t>€284,900,285</w:t>
            </w:r>
          </w:p>
        </w:tc>
      </w:tr>
      <w:tr w:rsidR="001E5376" w:rsidRPr="00FB2CC2" w14:paraId="34DAD66E" w14:textId="77777777" w:rsidTr="00990AE0">
        <w:trPr>
          <w:tblCellSpacing w:w="15" w:type="dxa"/>
        </w:trPr>
        <w:tc>
          <w:tcPr>
            <w:tcW w:w="0" w:type="auto"/>
            <w:vAlign w:val="center"/>
            <w:hideMark/>
          </w:tcPr>
          <w:p w14:paraId="5A5DF4B2" w14:textId="77777777" w:rsidR="001E5376" w:rsidRPr="00FB2CC2" w:rsidRDefault="001E5376" w:rsidP="001E5376">
            <w:pPr>
              <w:pStyle w:val="NormalWeb"/>
              <w:rPr>
                <w:sz w:val="28"/>
                <w:szCs w:val="28"/>
              </w:rPr>
            </w:pPr>
            <w:r w:rsidRPr="00FB2CC2">
              <w:rPr>
                <w:sz w:val="28"/>
                <w:szCs w:val="28"/>
              </w:rPr>
              <w:t>BESS (incl. design)</w:t>
            </w:r>
          </w:p>
        </w:tc>
        <w:tc>
          <w:tcPr>
            <w:tcW w:w="0" w:type="auto"/>
            <w:hideMark/>
          </w:tcPr>
          <w:p w14:paraId="618134FE" w14:textId="222C1537" w:rsidR="001E5376" w:rsidRPr="00FB2CC2" w:rsidRDefault="001E5376" w:rsidP="001E5376">
            <w:pPr>
              <w:pStyle w:val="NormalWeb"/>
              <w:rPr>
                <w:sz w:val="28"/>
                <w:szCs w:val="28"/>
              </w:rPr>
            </w:pPr>
            <w:r w:rsidRPr="00FB2CC2">
              <w:rPr>
                <w:sz w:val="28"/>
                <w:szCs w:val="28"/>
              </w:rPr>
              <w:t>€164,529,915</w:t>
            </w:r>
          </w:p>
        </w:tc>
      </w:tr>
      <w:tr w:rsidR="001E5376" w:rsidRPr="00FB2CC2" w14:paraId="7B77B0AC" w14:textId="77777777" w:rsidTr="00990AE0">
        <w:trPr>
          <w:tblCellSpacing w:w="15" w:type="dxa"/>
        </w:trPr>
        <w:tc>
          <w:tcPr>
            <w:tcW w:w="0" w:type="auto"/>
            <w:vAlign w:val="center"/>
            <w:hideMark/>
          </w:tcPr>
          <w:p w14:paraId="4A6111DA" w14:textId="77777777" w:rsidR="001E5376" w:rsidRPr="00FB2CC2" w:rsidRDefault="001E5376" w:rsidP="001E5376">
            <w:pPr>
              <w:pStyle w:val="NormalWeb"/>
              <w:rPr>
                <w:sz w:val="28"/>
                <w:szCs w:val="28"/>
              </w:rPr>
            </w:pPr>
            <w:r w:rsidRPr="00FB2CC2">
              <w:rPr>
                <w:sz w:val="28"/>
                <w:szCs w:val="28"/>
              </w:rPr>
              <w:t>Main Contractor installation</w:t>
            </w:r>
          </w:p>
        </w:tc>
        <w:tc>
          <w:tcPr>
            <w:tcW w:w="0" w:type="auto"/>
            <w:hideMark/>
          </w:tcPr>
          <w:p w14:paraId="08F6B483" w14:textId="188F04D3" w:rsidR="001E5376" w:rsidRPr="00FB2CC2" w:rsidRDefault="001E5376" w:rsidP="001E5376">
            <w:pPr>
              <w:pStyle w:val="NormalWeb"/>
              <w:rPr>
                <w:sz w:val="28"/>
                <w:szCs w:val="28"/>
              </w:rPr>
            </w:pPr>
            <w:r w:rsidRPr="00FB2CC2">
              <w:rPr>
                <w:sz w:val="28"/>
                <w:szCs w:val="28"/>
              </w:rPr>
              <w:t>€19,261,387</w:t>
            </w:r>
          </w:p>
        </w:tc>
      </w:tr>
      <w:tr w:rsidR="001E5376" w:rsidRPr="00FB2CC2" w14:paraId="2BBEC9F7" w14:textId="77777777" w:rsidTr="00990AE0">
        <w:trPr>
          <w:tblCellSpacing w:w="15" w:type="dxa"/>
        </w:trPr>
        <w:tc>
          <w:tcPr>
            <w:tcW w:w="0" w:type="auto"/>
            <w:vAlign w:val="center"/>
            <w:hideMark/>
          </w:tcPr>
          <w:p w14:paraId="39C1A155" w14:textId="77777777" w:rsidR="001E5376" w:rsidRPr="00FB2CC2" w:rsidRDefault="001E5376" w:rsidP="001E5376">
            <w:pPr>
              <w:pStyle w:val="NormalWeb"/>
              <w:rPr>
                <w:sz w:val="28"/>
                <w:szCs w:val="28"/>
              </w:rPr>
            </w:pPr>
            <w:r w:rsidRPr="00FB2CC2">
              <w:rPr>
                <w:sz w:val="28"/>
                <w:szCs w:val="28"/>
              </w:rPr>
              <w:t>Photo Voltaic system</w:t>
            </w:r>
          </w:p>
        </w:tc>
        <w:tc>
          <w:tcPr>
            <w:tcW w:w="0" w:type="auto"/>
            <w:hideMark/>
          </w:tcPr>
          <w:p w14:paraId="5457149E" w14:textId="6B9AEEDE" w:rsidR="001E5376" w:rsidRPr="00FB2CC2" w:rsidRDefault="001E5376" w:rsidP="001E5376">
            <w:pPr>
              <w:pStyle w:val="NormalWeb"/>
              <w:rPr>
                <w:sz w:val="28"/>
                <w:szCs w:val="28"/>
              </w:rPr>
            </w:pPr>
            <w:r w:rsidRPr="00FB2CC2">
              <w:rPr>
                <w:sz w:val="28"/>
                <w:szCs w:val="28"/>
              </w:rPr>
              <w:t>€3,493,244</w:t>
            </w:r>
          </w:p>
        </w:tc>
      </w:tr>
      <w:tr w:rsidR="001E5376" w:rsidRPr="00FB2CC2" w14:paraId="66E48858" w14:textId="77777777" w:rsidTr="00990AE0">
        <w:trPr>
          <w:tblCellSpacing w:w="15" w:type="dxa"/>
        </w:trPr>
        <w:tc>
          <w:tcPr>
            <w:tcW w:w="0" w:type="auto"/>
            <w:vAlign w:val="center"/>
            <w:hideMark/>
          </w:tcPr>
          <w:p w14:paraId="5156D708" w14:textId="77777777" w:rsidR="001E5376" w:rsidRPr="00FB2CC2" w:rsidRDefault="001E5376" w:rsidP="001E5376">
            <w:pPr>
              <w:pStyle w:val="NormalWeb"/>
              <w:rPr>
                <w:sz w:val="28"/>
                <w:szCs w:val="28"/>
              </w:rPr>
            </w:pPr>
            <w:r w:rsidRPr="00FB2CC2">
              <w:rPr>
                <w:sz w:val="28"/>
                <w:szCs w:val="28"/>
              </w:rPr>
              <w:t>Landscaping</w:t>
            </w:r>
          </w:p>
        </w:tc>
        <w:tc>
          <w:tcPr>
            <w:tcW w:w="0" w:type="auto"/>
            <w:hideMark/>
          </w:tcPr>
          <w:p w14:paraId="0B8420A1" w14:textId="49F628F0" w:rsidR="001E5376" w:rsidRPr="00FB2CC2" w:rsidRDefault="001E5376" w:rsidP="001E5376">
            <w:pPr>
              <w:pStyle w:val="NormalWeb"/>
              <w:rPr>
                <w:sz w:val="28"/>
                <w:szCs w:val="28"/>
              </w:rPr>
            </w:pPr>
            <w:r w:rsidRPr="00FB2CC2">
              <w:rPr>
                <w:sz w:val="28"/>
                <w:szCs w:val="28"/>
              </w:rPr>
              <w:t>€3,187,507</w:t>
            </w:r>
          </w:p>
        </w:tc>
      </w:tr>
      <w:tr w:rsidR="001E5376" w:rsidRPr="00FB2CC2" w14:paraId="7CE6AE93" w14:textId="77777777" w:rsidTr="00990AE0">
        <w:trPr>
          <w:tblCellSpacing w:w="15" w:type="dxa"/>
        </w:trPr>
        <w:tc>
          <w:tcPr>
            <w:tcW w:w="0" w:type="auto"/>
            <w:vAlign w:val="center"/>
            <w:hideMark/>
          </w:tcPr>
          <w:p w14:paraId="684F7939" w14:textId="77777777" w:rsidR="001E5376" w:rsidRPr="00FB2CC2" w:rsidRDefault="001E5376" w:rsidP="001E5376">
            <w:pPr>
              <w:pStyle w:val="NormalWeb"/>
              <w:rPr>
                <w:sz w:val="28"/>
                <w:szCs w:val="28"/>
              </w:rPr>
            </w:pPr>
            <w:r w:rsidRPr="00FB2CC2">
              <w:rPr>
                <w:sz w:val="28"/>
                <w:szCs w:val="28"/>
              </w:rPr>
              <w:t>Preliminaries – General</w:t>
            </w:r>
          </w:p>
        </w:tc>
        <w:tc>
          <w:tcPr>
            <w:tcW w:w="0" w:type="auto"/>
            <w:hideMark/>
          </w:tcPr>
          <w:p w14:paraId="4BEA7711" w14:textId="625ABF2B" w:rsidR="001E5376" w:rsidRPr="00FB2CC2" w:rsidRDefault="001E5376" w:rsidP="001E5376">
            <w:pPr>
              <w:pStyle w:val="NormalWeb"/>
              <w:rPr>
                <w:sz w:val="28"/>
                <w:szCs w:val="28"/>
              </w:rPr>
            </w:pPr>
            <w:r w:rsidRPr="00FB2CC2">
              <w:rPr>
                <w:sz w:val="28"/>
                <w:szCs w:val="28"/>
              </w:rPr>
              <w:t>€84,509,820</w:t>
            </w:r>
          </w:p>
        </w:tc>
      </w:tr>
      <w:tr w:rsidR="001E5376" w:rsidRPr="00FB2CC2" w14:paraId="2FBD1540" w14:textId="77777777" w:rsidTr="00990AE0">
        <w:trPr>
          <w:tblCellSpacing w:w="15" w:type="dxa"/>
        </w:trPr>
        <w:tc>
          <w:tcPr>
            <w:tcW w:w="0" w:type="auto"/>
            <w:vAlign w:val="center"/>
            <w:hideMark/>
          </w:tcPr>
          <w:p w14:paraId="38C430B8" w14:textId="77777777" w:rsidR="001E5376" w:rsidRPr="00FB2CC2" w:rsidRDefault="001E5376" w:rsidP="001E5376">
            <w:pPr>
              <w:pStyle w:val="NormalWeb"/>
              <w:rPr>
                <w:sz w:val="28"/>
                <w:szCs w:val="28"/>
              </w:rPr>
            </w:pPr>
            <w:r w:rsidRPr="00FB2CC2">
              <w:rPr>
                <w:sz w:val="28"/>
                <w:szCs w:val="28"/>
              </w:rPr>
              <w:t>Main Contractor Mark-Up on Crusader/BESS</w:t>
            </w:r>
          </w:p>
        </w:tc>
        <w:tc>
          <w:tcPr>
            <w:tcW w:w="0" w:type="auto"/>
            <w:hideMark/>
          </w:tcPr>
          <w:p w14:paraId="598DCB4C" w14:textId="53D0AE0E" w:rsidR="001E5376" w:rsidRPr="00FB2CC2" w:rsidRDefault="001E5376" w:rsidP="001E5376">
            <w:pPr>
              <w:pStyle w:val="NormalWeb"/>
              <w:rPr>
                <w:sz w:val="28"/>
                <w:szCs w:val="28"/>
              </w:rPr>
            </w:pPr>
            <w:r w:rsidRPr="00FB2CC2">
              <w:rPr>
                <w:sz w:val="28"/>
                <w:szCs w:val="28"/>
              </w:rPr>
              <w:t>€22,471,510</w:t>
            </w:r>
          </w:p>
        </w:tc>
      </w:tr>
      <w:tr w:rsidR="003E1B6B" w:rsidRPr="00FB2CC2" w14:paraId="248CB4F7" w14:textId="77777777" w:rsidTr="003E1B6B">
        <w:trPr>
          <w:tblCellSpacing w:w="15" w:type="dxa"/>
        </w:trPr>
        <w:tc>
          <w:tcPr>
            <w:tcW w:w="0" w:type="auto"/>
            <w:vAlign w:val="center"/>
            <w:hideMark/>
          </w:tcPr>
          <w:p w14:paraId="03E50EA5" w14:textId="77777777" w:rsidR="003E1B6B" w:rsidRPr="00FB2CC2" w:rsidRDefault="003E1B6B" w:rsidP="003E1B6B">
            <w:pPr>
              <w:pStyle w:val="NormalWeb"/>
              <w:rPr>
                <w:sz w:val="28"/>
                <w:szCs w:val="28"/>
              </w:rPr>
            </w:pPr>
            <w:r w:rsidRPr="00FB2CC2">
              <w:rPr>
                <w:sz w:val="28"/>
                <w:szCs w:val="28"/>
              </w:rPr>
              <w:lastRenderedPageBreak/>
              <w:t>Connection</w:t>
            </w:r>
          </w:p>
        </w:tc>
        <w:tc>
          <w:tcPr>
            <w:tcW w:w="0" w:type="auto"/>
            <w:vAlign w:val="center"/>
            <w:hideMark/>
          </w:tcPr>
          <w:p w14:paraId="056F93FB" w14:textId="40C17C5C" w:rsidR="003E1B6B" w:rsidRPr="00FB2CC2" w:rsidRDefault="001E5376" w:rsidP="003E1B6B">
            <w:pPr>
              <w:pStyle w:val="NormalWeb"/>
              <w:rPr>
                <w:sz w:val="28"/>
                <w:szCs w:val="28"/>
              </w:rPr>
            </w:pPr>
            <w:r w:rsidRPr="00FB2CC2">
              <w:rPr>
                <w:sz w:val="28"/>
                <w:szCs w:val="28"/>
              </w:rPr>
              <w:t>€55,644,587</w:t>
            </w:r>
          </w:p>
        </w:tc>
      </w:tr>
      <w:tr w:rsidR="003E1B6B" w:rsidRPr="00FB2CC2" w14:paraId="51F8929A" w14:textId="77777777" w:rsidTr="003E1B6B">
        <w:trPr>
          <w:tblCellSpacing w:w="15" w:type="dxa"/>
        </w:trPr>
        <w:tc>
          <w:tcPr>
            <w:tcW w:w="0" w:type="auto"/>
            <w:vAlign w:val="center"/>
            <w:hideMark/>
          </w:tcPr>
          <w:p w14:paraId="450724B9" w14:textId="77777777" w:rsidR="003E1B6B" w:rsidRPr="00FB2CC2" w:rsidRDefault="003E1B6B" w:rsidP="003E1B6B">
            <w:pPr>
              <w:pStyle w:val="NormalWeb"/>
              <w:rPr>
                <w:sz w:val="28"/>
                <w:szCs w:val="28"/>
              </w:rPr>
            </w:pPr>
            <w:r w:rsidRPr="00FB2CC2">
              <w:rPr>
                <w:sz w:val="28"/>
                <w:szCs w:val="28"/>
              </w:rPr>
              <w:t>Deal</w:t>
            </w:r>
          </w:p>
        </w:tc>
        <w:tc>
          <w:tcPr>
            <w:tcW w:w="0" w:type="auto"/>
            <w:vAlign w:val="center"/>
            <w:hideMark/>
          </w:tcPr>
          <w:p w14:paraId="3E18A180" w14:textId="77777777" w:rsidR="003E1B6B" w:rsidRPr="00FB2CC2" w:rsidRDefault="003E1B6B" w:rsidP="003E1B6B">
            <w:pPr>
              <w:pStyle w:val="NormalWeb"/>
              <w:rPr>
                <w:sz w:val="28"/>
                <w:szCs w:val="28"/>
              </w:rPr>
            </w:pPr>
            <w:r w:rsidRPr="00FB2CC2">
              <w:rPr>
                <w:sz w:val="28"/>
                <w:szCs w:val="28"/>
              </w:rPr>
              <w:t>€12,000,000</w:t>
            </w:r>
          </w:p>
        </w:tc>
      </w:tr>
      <w:tr w:rsidR="001E5376" w:rsidRPr="00FB2CC2" w14:paraId="5AAC4230" w14:textId="77777777" w:rsidTr="000359C9">
        <w:trPr>
          <w:tblCellSpacing w:w="15" w:type="dxa"/>
        </w:trPr>
        <w:tc>
          <w:tcPr>
            <w:tcW w:w="0" w:type="auto"/>
            <w:vAlign w:val="center"/>
            <w:hideMark/>
          </w:tcPr>
          <w:p w14:paraId="481CF563" w14:textId="77777777" w:rsidR="001E5376" w:rsidRPr="00FB2CC2" w:rsidRDefault="001E5376" w:rsidP="001E5376">
            <w:pPr>
              <w:pStyle w:val="NormalWeb"/>
              <w:rPr>
                <w:sz w:val="28"/>
                <w:szCs w:val="28"/>
              </w:rPr>
            </w:pPr>
            <w:r w:rsidRPr="00FB2CC2">
              <w:rPr>
                <w:sz w:val="28"/>
                <w:szCs w:val="28"/>
              </w:rPr>
              <w:t>Operations Team</w:t>
            </w:r>
          </w:p>
        </w:tc>
        <w:tc>
          <w:tcPr>
            <w:tcW w:w="0" w:type="auto"/>
            <w:hideMark/>
          </w:tcPr>
          <w:p w14:paraId="19FEAFD5" w14:textId="5FAB3DBE" w:rsidR="001E5376" w:rsidRPr="00FB2CC2" w:rsidRDefault="001E5376" w:rsidP="001E5376">
            <w:pPr>
              <w:pStyle w:val="NormalWeb"/>
              <w:rPr>
                <w:sz w:val="28"/>
                <w:szCs w:val="28"/>
              </w:rPr>
            </w:pPr>
            <w:r w:rsidRPr="00FB2CC2">
              <w:rPr>
                <w:sz w:val="28"/>
                <w:szCs w:val="28"/>
              </w:rPr>
              <w:t>€3,541,019</w:t>
            </w:r>
          </w:p>
        </w:tc>
      </w:tr>
      <w:tr w:rsidR="001E5376" w:rsidRPr="00FB2CC2" w14:paraId="4CFA9915" w14:textId="77777777" w:rsidTr="000359C9">
        <w:trPr>
          <w:tblCellSpacing w:w="15" w:type="dxa"/>
        </w:trPr>
        <w:tc>
          <w:tcPr>
            <w:tcW w:w="0" w:type="auto"/>
            <w:vAlign w:val="center"/>
            <w:hideMark/>
          </w:tcPr>
          <w:p w14:paraId="1D74140A" w14:textId="77777777" w:rsidR="001E5376" w:rsidRPr="00FB2CC2" w:rsidRDefault="001E5376" w:rsidP="001E5376">
            <w:pPr>
              <w:pStyle w:val="NormalWeb"/>
              <w:rPr>
                <w:sz w:val="28"/>
                <w:szCs w:val="28"/>
              </w:rPr>
            </w:pPr>
            <w:r w:rsidRPr="00FB2CC2">
              <w:rPr>
                <w:sz w:val="28"/>
                <w:szCs w:val="28"/>
              </w:rPr>
              <w:t>OS&amp;E</w:t>
            </w:r>
          </w:p>
        </w:tc>
        <w:tc>
          <w:tcPr>
            <w:tcW w:w="0" w:type="auto"/>
            <w:hideMark/>
          </w:tcPr>
          <w:p w14:paraId="09318CFE" w14:textId="2A0645DF" w:rsidR="001E5376" w:rsidRPr="00FB2CC2" w:rsidRDefault="001E5376" w:rsidP="001E5376">
            <w:pPr>
              <w:pStyle w:val="NormalWeb"/>
              <w:rPr>
                <w:sz w:val="28"/>
                <w:szCs w:val="28"/>
              </w:rPr>
            </w:pPr>
            <w:r w:rsidRPr="00FB2CC2">
              <w:rPr>
                <w:sz w:val="28"/>
                <w:szCs w:val="28"/>
              </w:rPr>
              <w:t>€3,782,979</w:t>
            </w:r>
          </w:p>
        </w:tc>
      </w:tr>
      <w:tr w:rsidR="001E5376" w:rsidRPr="00FB2CC2" w14:paraId="2998784E" w14:textId="77777777" w:rsidTr="000359C9">
        <w:trPr>
          <w:tblCellSpacing w:w="15" w:type="dxa"/>
        </w:trPr>
        <w:tc>
          <w:tcPr>
            <w:tcW w:w="0" w:type="auto"/>
            <w:vAlign w:val="center"/>
            <w:hideMark/>
          </w:tcPr>
          <w:p w14:paraId="44CF85EF" w14:textId="77777777" w:rsidR="001E5376" w:rsidRPr="00FB2CC2" w:rsidRDefault="001E5376" w:rsidP="001E5376">
            <w:pPr>
              <w:pStyle w:val="NormalWeb"/>
              <w:rPr>
                <w:sz w:val="28"/>
                <w:szCs w:val="28"/>
              </w:rPr>
            </w:pPr>
            <w:r w:rsidRPr="00FB2CC2">
              <w:rPr>
                <w:sz w:val="28"/>
                <w:szCs w:val="28"/>
              </w:rPr>
              <w:t>Marketing</w:t>
            </w:r>
          </w:p>
        </w:tc>
        <w:tc>
          <w:tcPr>
            <w:tcW w:w="0" w:type="auto"/>
            <w:hideMark/>
          </w:tcPr>
          <w:p w14:paraId="6851EA5A" w14:textId="6F0C1640" w:rsidR="001E5376" w:rsidRPr="00FB2CC2" w:rsidRDefault="001E5376" w:rsidP="001E5376">
            <w:pPr>
              <w:pStyle w:val="NormalWeb"/>
              <w:rPr>
                <w:sz w:val="28"/>
                <w:szCs w:val="28"/>
              </w:rPr>
            </w:pPr>
            <w:r w:rsidRPr="00FB2CC2">
              <w:rPr>
                <w:sz w:val="28"/>
                <w:szCs w:val="28"/>
              </w:rPr>
              <w:t>€3,709,639</w:t>
            </w:r>
          </w:p>
        </w:tc>
      </w:tr>
      <w:tr w:rsidR="001E5376" w:rsidRPr="00FB2CC2" w14:paraId="06A1D441" w14:textId="77777777" w:rsidTr="000359C9">
        <w:trPr>
          <w:tblCellSpacing w:w="15" w:type="dxa"/>
        </w:trPr>
        <w:tc>
          <w:tcPr>
            <w:tcW w:w="0" w:type="auto"/>
            <w:vAlign w:val="center"/>
            <w:hideMark/>
          </w:tcPr>
          <w:p w14:paraId="594C1A9B" w14:textId="77777777" w:rsidR="001E5376" w:rsidRPr="00FB2CC2" w:rsidRDefault="001E5376" w:rsidP="001E5376">
            <w:pPr>
              <w:pStyle w:val="NormalWeb"/>
              <w:rPr>
                <w:sz w:val="28"/>
                <w:szCs w:val="28"/>
              </w:rPr>
            </w:pPr>
            <w:r w:rsidRPr="00FB2CC2">
              <w:rPr>
                <w:sz w:val="28"/>
                <w:szCs w:val="28"/>
              </w:rPr>
              <w:t>DM Fee</w:t>
            </w:r>
          </w:p>
        </w:tc>
        <w:tc>
          <w:tcPr>
            <w:tcW w:w="0" w:type="auto"/>
            <w:hideMark/>
          </w:tcPr>
          <w:p w14:paraId="57A59715" w14:textId="5275A087" w:rsidR="001E5376" w:rsidRPr="00FB2CC2" w:rsidRDefault="001E5376" w:rsidP="001E5376">
            <w:pPr>
              <w:pStyle w:val="NormalWeb"/>
              <w:rPr>
                <w:sz w:val="28"/>
                <w:szCs w:val="28"/>
              </w:rPr>
            </w:pPr>
            <w:r w:rsidRPr="00FB2CC2">
              <w:rPr>
                <w:sz w:val="28"/>
                <w:szCs w:val="28"/>
              </w:rPr>
              <w:t>€34,298,050</w:t>
            </w:r>
          </w:p>
        </w:tc>
      </w:tr>
      <w:tr w:rsidR="001E5376" w:rsidRPr="00FB2CC2" w14:paraId="092E3F1E" w14:textId="77777777" w:rsidTr="000359C9">
        <w:trPr>
          <w:tblCellSpacing w:w="15" w:type="dxa"/>
        </w:trPr>
        <w:tc>
          <w:tcPr>
            <w:tcW w:w="0" w:type="auto"/>
            <w:vAlign w:val="center"/>
            <w:hideMark/>
          </w:tcPr>
          <w:p w14:paraId="09586A01" w14:textId="77777777" w:rsidR="001E5376" w:rsidRPr="00FB2CC2" w:rsidRDefault="001E5376" w:rsidP="001E5376">
            <w:pPr>
              <w:pStyle w:val="NormalWeb"/>
              <w:rPr>
                <w:sz w:val="28"/>
                <w:szCs w:val="28"/>
              </w:rPr>
            </w:pPr>
            <w:r w:rsidRPr="00FB2CC2">
              <w:rPr>
                <w:sz w:val="28"/>
                <w:szCs w:val="28"/>
              </w:rPr>
              <w:t>DARK Management Fee</w:t>
            </w:r>
          </w:p>
        </w:tc>
        <w:tc>
          <w:tcPr>
            <w:tcW w:w="0" w:type="auto"/>
            <w:hideMark/>
          </w:tcPr>
          <w:p w14:paraId="1FE7582B" w14:textId="53B6FE82" w:rsidR="001E5376" w:rsidRPr="00FB2CC2" w:rsidRDefault="001E5376" w:rsidP="001E5376">
            <w:pPr>
              <w:pStyle w:val="NormalWeb"/>
              <w:rPr>
                <w:sz w:val="28"/>
                <w:szCs w:val="28"/>
              </w:rPr>
            </w:pPr>
            <w:r w:rsidRPr="00FB2CC2">
              <w:rPr>
                <w:sz w:val="28"/>
                <w:szCs w:val="28"/>
              </w:rPr>
              <w:t>€21,938,781</w:t>
            </w:r>
          </w:p>
        </w:tc>
      </w:tr>
      <w:tr w:rsidR="001E5376" w:rsidRPr="00FB2CC2" w14:paraId="0BC09126" w14:textId="77777777" w:rsidTr="000359C9">
        <w:trPr>
          <w:tblCellSpacing w:w="15" w:type="dxa"/>
        </w:trPr>
        <w:tc>
          <w:tcPr>
            <w:tcW w:w="0" w:type="auto"/>
            <w:vAlign w:val="center"/>
            <w:hideMark/>
          </w:tcPr>
          <w:p w14:paraId="4E381F0A" w14:textId="77777777" w:rsidR="001E5376" w:rsidRPr="00FB2CC2" w:rsidRDefault="001E5376" w:rsidP="001E5376">
            <w:pPr>
              <w:pStyle w:val="NormalWeb"/>
              <w:rPr>
                <w:sz w:val="28"/>
                <w:szCs w:val="28"/>
              </w:rPr>
            </w:pPr>
            <w:r w:rsidRPr="00FB2CC2">
              <w:rPr>
                <w:sz w:val="28"/>
                <w:szCs w:val="28"/>
              </w:rPr>
              <w:t>Contingency on all costs (10%)</w:t>
            </w:r>
          </w:p>
        </w:tc>
        <w:tc>
          <w:tcPr>
            <w:tcW w:w="0" w:type="auto"/>
            <w:hideMark/>
          </w:tcPr>
          <w:p w14:paraId="5A0BA4DD" w14:textId="1812D330" w:rsidR="001E5376" w:rsidRPr="00FB2CC2" w:rsidRDefault="001E5376" w:rsidP="001E5376">
            <w:pPr>
              <w:pStyle w:val="NormalWeb"/>
              <w:rPr>
                <w:sz w:val="28"/>
                <w:szCs w:val="28"/>
              </w:rPr>
            </w:pPr>
            <w:r w:rsidRPr="00FB2CC2">
              <w:rPr>
                <w:sz w:val="28"/>
                <w:szCs w:val="28"/>
              </w:rPr>
              <w:t>€73,129,269</w:t>
            </w:r>
          </w:p>
        </w:tc>
      </w:tr>
      <w:tr w:rsidR="003E1B6B" w:rsidRPr="00FB2CC2" w14:paraId="59C1F5CF" w14:textId="77777777" w:rsidTr="003E1B6B">
        <w:trPr>
          <w:tblCellSpacing w:w="15" w:type="dxa"/>
        </w:trPr>
        <w:tc>
          <w:tcPr>
            <w:tcW w:w="0" w:type="auto"/>
            <w:vAlign w:val="center"/>
            <w:hideMark/>
          </w:tcPr>
          <w:p w14:paraId="758D10A1" w14:textId="77777777" w:rsidR="003E1B6B" w:rsidRPr="00FB2CC2" w:rsidRDefault="003E1B6B" w:rsidP="003E1B6B">
            <w:pPr>
              <w:pStyle w:val="NormalWeb"/>
              <w:rPr>
                <w:sz w:val="28"/>
                <w:szCs w:val="28"/>
              </w:rPr>
            </w:pPr>
            <w:r w:rsidRPr="00FB2CC2">
              <w:rPr>
                <w:b/>
                <w:bCs/>
                <w:sz w:val="28"/>
                <w:szCs w:val="28"/>
              </w:rPr>
              <w:t>TOTAL</w:t>
            </w:r>
          </w:p>
        </w:tc>
        <w:tc>
          <w:tcPr>
            <w:tcW w:w="0" w:type="auto"/>
            <w:vAlign w:val="center"/>
            <w:hideMark/>
          </w:tcPr>
          <w:p w14:paraId="3FC3E8AC" w14:textId="12A309D0" w:rsidR="003E1B6B" w:rsidRPr="00FB2CC2" w:rsidRDefault="003E1B6B" w:rsidP="003E1B6B">
            <w:pPr>
              <w:pStyle w:val="NormalWeb"/>
              <w:rPr>
                <w:sz w:val="28"/>
                <w:szCs w:val="28"/>
              </w:rPr>
            </w:pPr>
            <w:r w:rsidRPr="00FB2CC2">
              <w:rPr>
                <w:sz w:val="28"/>
                <w:szCs w:val="28"/>
              </w:rPr>
              <w:t>€8</w:t>
            </w:r>
            <w:r w:rsidR="001E5376" w:rsidRPr="00FB2CC2">
              <w:rPr>
                <w:sz w:val="28"/>
                <w:szCs w:val="28"/>
              </w:rPr>
              <w:t>38</w:t>
            </w:r>
            <w:r w:rsidRPr="00FB2CC2">
              <w:rPr>
                <w:sz w:val="28"/>
                <w:szCs w:val="28"/>
              </w:rPr>
              <w:t>,</w:t>
            </w:r>
            <w:r w:rsidR="001E5376" w:rsidRPr="00FB2CC2">
              <w:rPr>
                <w:sz w:val="28"/>
                <w:szCs w:val="28"/>
              </w:rPr>
              <w:t>360</w:t>
            </w:r>
            <w:r w:rsidRPr="00FB2CC2">
              <w:rPr>
                <w:sz w:val="28"/>
                <w:szCs w:val="28"/>
              </w:rPr>
              <w:t>,</w:t>
            </w:r>
            <w:r w:rsidR="001E5376" w:rsidRPr="00FB2CC2">
              <w:rPr>
                <w:sz w:val="28"/>
                <w:szCs w:val="28"/>
              </w:rPr>
              <w:t>734</w:t>
            </w:r>
          </w:p>
        </w:tc>
      </w:tr>
    </w:tbl>
    <w:p w14:paraId="00FFF28D"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Professional fees breakdown:</w:t>
      </w:r>
      <w:r w:rsidRPr="00FB2CC2">
        <w:rPr>
          <w:sz w:val="28"/>
          <w:szCs w:val="28"/>
        </w:rPr>
        <w:br/>
        <w:t>PM: €2.8M | QS: €2.1M | Legal: €1.9M | Technical Advisor: €3.2M | Architect: €4.8M</w:t>
      </w:r>
    </w:p>
    <w:p w14:paraId="7608B15C"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Insurance costs during build:</w:t>
      </w:r>
      <w:r w:rsidRPr="00FB2CC2">
        <w:rPr>
          <w:sz w:val="28"/>
          <w:szCs w:val="28"/>
        </w:rPr>
        <w:br/>
        <w:t>€4.1 million (CAR, DSU, public liability)</w:t>
      </w:r>
    </w:p>
    <w:p w14:paraId="468901B8"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Inflation assumptions:</w:t>
      </w:r>
      <w:r w:rsidRPr="00FB2CC2">
        <w:rPr>
          <w:sz w:val="28"/>
          <w:szCs w:val="28"/>
        </w:rPr>
        <w:br/>
        <w:t>3.2% applied to year 2 forward contracts</w:t>
      </w:r>
    </w:p>
    <w:p w14:paraId="1113D96C"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Liquidated damages schedule:</w:t>
      </w:r>
      <w:r w:rsidRPr="00FB2CC2">
        <w:rPr>
          <w:sz w:val="28"/>
          <w:szCs w:val="28"/>
        </w:rPr>
        <w:br/>
        <w:t>€500K per week delay beyond PC</w:t>
      </w:r>
    </w:p>
    <w:p w14:paraId="4188B516"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Embodied carbon analysis:</w:t>
      </w:r>
      <w:r w:rsidRPr="00FB2CC2">
        <w:rPr>
          <w:sz w:val="28"/>
          <w:szCs w:val="28"/>
        </w:rPr>
        <w:br/>
        <w:t xml:space="preserve">132,000 </w:t>
      </w:r>
      <w:proofErr w:type="spellStart"/>
      <w:r w:rsidRPr="00FB2CC2">
        <w:rPr>
          <w:sz w:val="28"/>
          <w:szCs w:val="28"/>
        </w:rPr>
        <w:t>tCO₂e</w:t>
      </w:r>
      <w:proofErr w:type="spellEnd"/>
      <w:r w:rsidRPr="00FB2CC2">
        <w:rPr>
          <w:sz w:val="28"/>
          <w:szCs w:val="28"/>
        </w:rPr>
        <w:t xml:space="preserve"> total estimate</w:t>
      </w:r>
    </w:p>
    <w:p w14:paraId="3497F751" w14:textId="0EAE1505"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Developer mark-up disclosure:</w:t>
      </w:r>
      <w:r w:rsidRPr="00FB2CC2">
        <w:rPr>
          <w:sz w:val="28"/>
          <w:szCs w:val="28"/>
        </w:rPr>
        <w:br/>
        <w:t>Developer fee of €</w:t>
      </w:r>
      <w:r w:rsidR="009849BB">
        <w:rPr>
          <w:sz w:val="28"/>
          <w:szCs w:val="28"/>
        </w:rPr>
        <w:t>10</w:t>
      </w:r>
      <w:r w:rsidRPr="00FB2CC2">
        <w:rPr>
          <w:sz w:val="28"/>
          <w:szCs w:val="28"/>
        </w:rPr>
        <w:t>0M embedded (at COD release)</w:t>
      </w:r>
    </w:p>
    <w:p w14:paraId="44F7AE99" w14:textId="77777777" w:rsidR="003E1B6B" w:rsidRPr="00FB2CC2" w:rsidRDefault="00DF03FD" w:rsidP="003E1B6B">
      <w:pPr>
        <w:pStyle w:val="NormalWeb"/>
        <w:rPr>
          <w:sz w:val="28"/>
          <w:szCs w:val="28"/>
        </w:rPr>
      </w:pPr>
      <w:r>
        <w:rPr>
          <w:sz w:val="28"/>
          <w:szCs w:val="28"/>
        </w:rPr>
        <w:pict w14:anchorId="51F129F6">
          <v:rect id="_x0000_i1029" style="width:0;height:1.5pt" o:hralign="center" o:hrstd="t" o:hr="t" fillcolor="#a0a0a0" stroked="f"/>
        </w:pict>
      </w:r>
    </w:p>
    <w:p w14:paraId="6CF20B0E" w14:textId="77777777" w:rsidR="003E1B6B" w:rsidRPr="00FB2CC2" w:rsidRDefault="003E1B6B" w:rsidP="003E1B6B">
      <w:pPr>
        <w:pStyle w:val="NormalWeb"/>
        <w:rPr>
          <w:b/>
          <w:bCs/>
          <w:sz w:val="28"/>
          <w:szCs w:val="28"/>
        </w:rPr>
      </w:pPr>
      <w:r w:rsidRPr="00FB2CC2">
        <w:rPr>
          <w:b/>
          <w:bCs/>
          <w:sz w:val="28"/>
          <w:szCs w:val="28"/>
        </w:rPr>
        <w:t>1.5 Contractor Appointments &amp; Delivery Programme</w:t>
      </w:r>
    </w:p>
    <w:p w14:paraId="1C9F125F" w14:textId="0254C2FB"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Tier 1 contractor appointed:</w:t>
      </w:r>
      <w:r w:rsidRPr="00FB2CC2">
        <w:rPr>
          <w:sz w:val="28"/>
          <w:szCs w:val="28"/>
        </w:rPr>
        <w:br/>
      </w:r>
      <w:r w:rsidR="001E5376" w:rsidRPr="00FB2CC2">
        <w:rPr>
          <w:sz w:val="28"/>
          <w:szCs w:val="28"/>
        </w:rPr>
        <w:t xml:space="preserve">Short list of 5 experienced contractors - </w:t>
      </w:r>
    </w:p>
    <w:p w14:paraId="1D908AC6" w14:textId="2894584F" w:rsidR="003E1B6B" w:rsidRPr="00FB2CC2" w:rsidRDefault="003E1B6B" w:rsidP="003E1B6B">
      <w:pPr>
        <w:pStyle w:val="NormalWeb"/>
        <w:rPr>
          <w:sz w:val="28"/>
          <w:szCs w:val="28"/>
        </w:rPr>
      </w:pPr>
      <w:r w:rsidRPr="00FB2CC2">
        <w:rPr>
          <w:rFonts w:ascii="Segoe UI Symbol" w:hAnsi="Segoe UI Symbol" w:cs="Segoe UI Symbol"/>
          <w:sz w:val="28"/>
          <w:szCs w:val="28"/>
        </w:rPr>
        <w:lastRenderedPageBreak/>
        <w:t>☑</w:t>
      </w:r>
      <w:r w:rsidRPr="00FB2CC2">
        <w:rPr>
          <w:sz w:val="28"/>
          <w:szCs w:val="28"/>
        </w:rPr>
        <w:t xml:space="preserve"> </w:t>
      </w:r>
      <w:r w:rsidRPr="00FB2CC2">
        <w:rPr>
          <w:b/>
          <w:bCs/>
          <w:sz w:val="28"/>
          <w:szCs w:val="28"/>
        </w:rPr>
        <w:t>Contract form:</w:t>
      </w:r>
      <w:r w:rsidRPr="00FB2CC2">
        <w:rPr>
          <w:sz w:val="28"/>
          <w:szCs w:val="28"/>
        </w:rPr>
        <w:br/>
        <w:t>Guaranteed Maximum Price (GMP)</w:t>
      </w:r>
      <w:r w:rsidR="001E5376" w:rsidRPr="00FB2CC2">
        <w:rPr>
          <w:sz w:val="28"/>
          <w:szCs w:val="28"/>
        </w:rPr>
        <w:t xml:space="preserve">, Design and Build (D&amp;B) – </w:t>
      </w:r>
      <w:proofErr w:type="gramStart"/>
      <w:r w:rsidR="001E5376" w:rsidRPr="00FB2CC2">
        <w:rPr>
          <w:sz w:val="28"/>
          <w:szCs w:val="28"/>
        </w:rPr>
        <w:t>I.e.</w:t>
      </w:r>
      <w:proofErr w:type="gramEnd"/>
      <w:r w:rsidR="001E5376" w:rsidRPr="00FB2CC2">
        <w:rPr>
          <w:sz w:val="28"/>
          <w:szCs w:val="28"/>
        </w:rPr>
        <w:t xml:space="preserve"> full risk transfer</w:t>
      </w:r>
    </w:p>
    <w:p w14:paraId="4D28939D" w14:textId="6F9B049B"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Contract value:</w:t>
      </w:r>
      <w:r w:rsidRPr="00FB2CC2">
        <w:rPr>
          <w:sz w:val="28"/>
          <w:szCs w:val="28"/>
        </w:rPr>
        <w:br/>
        <w:t>€</w:t>
      </w:r>
      <w:r w:rsidR="001E5376" w:rsidRPr="00FB2CC2">
        <w:rPr>
          <w:sz w:val="28"/>
          <w:szCs w:val="28"/>
        </w:rPr>
        <w:t>838</w:t>
      </w:r>
      <w:r w:rsidRPr="00FB2CC2">
        <w:rPr>
          <w:sz w:val="28"/>
          <w:szCs w:val="28"/>
        </w:rPr>
        <w:t xml:space="preserve"> million (incl. mark-up)</w:t>
      </w:r>
    </w:p>
    <w:p w14:paraId="28B3C507" w14:textId="6BDDA8D3"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Performance bond:</w:t>
      </w:r>
      <w:r w:rsidRPr="00FB2CC2">
        <w:rPr>
          <w:sz w:val="28"/>
          <w:szCs w:val="28"/>
        </w:rPr>
        <w:br/>
        <w:t xml:space="preserve">€36.5 million performance bond </w:t>
      </w:r>
      <w:r w:rsidR="001E5376" w:rsidRPr="00FB2CC2">
        <w:rPr>
          <w:sz w:val="28"/>
          <w:szCs w:val="28"/>
        </w:rPr>
        <w:t>sought at contractor appointment</w:t>
      </w:r>
    </w:p>
    <w:p w14:paraId="139A72F7"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Completion guarantees:</w:t>
      </w:r>
      <w:r w:rsidRPr="00FB2CC2">
        <w:rPr>
          <w:sz w:val="28"/>
          <w:szCs w:val="28"/>
        </w:rPr>
        <w:br/>
        <w:t>GMP backed by parent guarantee</w:t>
      </w:r>
    </w:p>
    <w:p w14:paraId="273923E8" w14:textId="7023583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Detailed construction schedule:</w:t>
      </w:r>
      <w:r w:rsidRPr="00FB2CC2">
        <w:rPr>
          <w:sz w:val="28"/>
          <w:szCs w:val="28"/>
        </w:rPr>
        <w:br/>
      </w:r>
      <w:r w:rsidR="00501507" w:rsidRPr="00FB2CC2">
        <w:rPr>
          <w:sz w:val="28"/>
          <w:szCs w:val="28"/>
        </w:rPr>
        <w:t>On contractor appointment, contractual milestones will release funding</w:t>
      </w:r>
    </w:p>
    <w:p w14:paraId="56233B45" w14:textId="5597A7D9"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Critical path analysis:</w:t>
      </w:r>
      <w:r w:rsidRPr="00FB2CC2">
        <w:rPr>
          <w:sz w:val="28"/>
          <w:szCs w:val="28"/>
        </w:rPr>
        <w:br/>
      </w:r>
      <w:r w:rsidR="00501507" w:rsidRPr="00FB2CC2">
        <w:rPr>
          <w:sz w:val="28"/>
          <w:szCs w:val="28"/>
        </w:rPr>
        <w:t>Power energisation, s</w:t>
      </w:r>
      <w:r w:rsidRPr="00FB2CC2">
        <w:rPr>
          <w:sz w:val="28"/>
          <w:szCs w:val="28"/>
        </w:rPr>
        <w:t>ubstation delivery and Crusader pre-fab module production</w:t>
      </w:r>
    </w:p>
    <w:p w14:paraId="20A5A48E" w14:textId="13590388"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Practical completion target date:</w:t>
      </w:r>
      <w:r w:rsidRPr="00FB2CC2">
        <w:rPr>
          <w:sz w:val="28"/>
          <w:szCs w:val="28"/>
        </w:rPr>
        <w:br/>
      </w:r>
      <w:r w:rsidR="00501507" w:rsidRPr="00FB2CC2">
        <w:rPr>
          <w:sz w:val="28"/>
          <w:szCs w:val="28"/>
        </w:rPr>
        <w:t>8 January 2027</w:t>
      </w:r>
    </w:p>
    <w:p w14:paraId="0DA690F0" w14:textId="3ADAD4DF"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Commercial operations start date:</w:t>
      </w:r>
      <w:r w:rsidRPr="00FB2CC2">
        <w:rPr>
          <w:sz w:val="28"/>
          <w:szCs w:val="28"/>
        </w:rPr>
        <w:br/>
      </w:r>
      <w:r w:rsidR="00501507" w:rsidRPr="00FB2CC2">
        <w:rPr>
          <w:sz w:val="28"/>
          <w:szCs w:val="28"/>
        </w:rPr>
        <w:t>1 February 2027</w:t>
      </w:r>
    </w:p>
    <w:p w14:paraId="4A130740" w14:textId="77777777" w:rsidR="003E1B6B" w:rsidRPr="00FB2CC2" w:rsidRDefault="00DF03FD" w:rsidP="003E1B6B">
      <w:pPr>
        <w:pStyle w:val="NormalWeb"/>
        <w:rPr>
          <w:sz w:val="28"/>
          <w:szCs w:val="28"/>
        </w:rPr>
      </w:pPr>
      <w:r>
        <w:rPr>
          <w:sz w:val="28"/>
          <w:szCs w:val="28"/>
        </w:rPr>
        <w:pict w14:anchorId="2BE39EC1">
          <v:rect id="_x0000_i1030" style="width:0;height:1.5pt" o:hralign="center" o:hrstd="t" o:hr="t" fillcolor="#a0a0a0" stroked="f"/>
        </w:pict>
      </w:r>
    </w:p>
    <w:p w14:paraId="570A07B4" w14:textId="77777777" w:rsidR="003E1B6B" w:rsidRPr="00FB2CC2" w:rsidRDefault="003E1B6B" w:rsidP="003E1B6B">
      <w:pPr>
        <w:pStyle w:val="NormalWeb"/>
        <w:rPr>
          <w:b/>
          <w:bCs/>
          <w:sz w:val="28"/>
          <w:szCs w:val="28"/>
        </w:rPr>
      </w:pPr>
      <w:r w:rsidRPr="00FB2CC2">
        <w:rPr>
          <w:b/>
          <w:bCs/>
          <w:sz w:val="28"/>
          <w:szCs w:val="28"/>
        </w:rPr>
        <w:t>1.6 Technical Site Surveys</w:t>
      </w:r>
    </w:p>
    <w:p w14:paraId="36D65BFC"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Geotechnical survey:</w:t>
      </w:r>
      <w:r w:rsidRPr="00FB2CC2">
        <w:rPr>
          <w:sz w:val="28"/>
          <w:szCs w:val="28"/>
        </w:rPr>
        <w:br/>
        <w:t>Completed — suitable ground load capacity</w:t>
      </w:r>
    </w:p>
    <w:p w14:paraId="589392FC"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Topographical survey:</w:t>
      </w:r>
      <w:r w:rsidRPr="00FB2CC2">
        <w:rPr>
          <w:sz w:val="28"/>
          <w:szCs w:val="28"/>
        </w:rPr>
        <w:br/>
        <w:t>Completed and certified</w:t>
      </w:r>
    </w:p>
    <w:p w14:paraId="307AAF7B"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Environmental contamination survey:</w:t>
      </w:r>
      <w:r w:rsidRPr="00FB2CC2">
        <w:rPr>
          <w:sz w:val="28"/>
          <w:szCs w:val="28"/>
        </w:rPr>
        <w:br/>
        <w:t>No legacy contamination identified</w:t>
      </w:r>
    </w:p>
    <w:p w14:paraId="6DAAC4AB"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lastRenderedPageBreak/>
        <w:t>☑</w:t>
      </w:r>
      <w:r w:rsidRPr="00FB2CC2">
        <w:rPr>
          <w:sz w:val="28"/>
          <w:szCs w:val="28"/>
        </w:rPr>
        <w:t xml:space="preserve"> </w:t>
      </w:r>
      <w:r w:rsidRPr="00FB2CC2">
        <w:rPr>
          <w:b/>
          <w:bCs/>
          <w:sz w:val="28"/>
          <w:szCs w:val="28"/>
        </w:rPr>
        <w:t>Archaeological assessments:</w:t>
      </w:r>
      <w:r w:rsidRPr="00FB2CC2">
        <w:rPr>
          <w:sz w:val="28"/>
          <w:szCs w:val="28"/>
        </w:rPr>
        <w:br/>
        <w:t>No material discoveries</w:t>
      </w:r>
    </w:p>
    <w:p w14:paraId="4B47BCCC"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Unexploded ordnance survey:</w:t>
      </w:r>
      <w:r w:rsidRPr="00FB2CC2">
        <w:rPr>
          <w:sz w:val="28"/>
          <w:szCs w:val="28"/>
        </w:rPr>
        <w:br/>
        <w:t>Cleared — full UXO survey completed</w:t>
      </w:r>
    </w:p>
    <w:p w14:paraId="1A22AE83" w14:textId="77777777" w:rsidR="003E1B6B" w:rsidRPr="00FB2CC2" w:rsidRDefault="00DF03FD" w:rsidP="003E1B6B">
      <w:pPr>
        <w:pStyle w:val="NormalWeb"/>
        <w:rPr>
          <w:sz w:val="28"/>
          <w:szCs w:val="28"/>
        </w:rPr>
      </w:pPr>
      <w:r>
        <w:rPr>
          <w:sz w:val="28"/>
          <w:szCs w:val="28"/>
        </w:rPr>
        <w:pict w14:anchorId="564E2A87">
          <v:rect id="_x0000_i1031" style="width:0;height:1.5pt" o:hralign="center" o:hrstd="t" o:hr="t" fillcolor="#a0a0a0" stroked="f"/>
        </w:pict>
      </w:r>
    </w:p>
    <w:p w14:paraId="3F8D873F" w14:textId="77777777" w:rsidR="003E1B6B" w:rsidRPr="00FB2CC2" w:rsidRDefault="003E1B6B" w:rsidP="003E1B6B">
      <w:pPr>
        <w:pStyle w:val="NormalWeb"/>
        <w:rPr>
          <w:b/>
          <w:bCs/>
          <w:sz w:val="28"/>
          <w:szCs w:val="28"/>
        </w:rPr>
      </w:pPr>
      <w:r w:rsidRPr="00FB2CC2">
        <w:rPr>
          <w:b/>
          <w:bCs/>
          <w:sz w:val="28"/>
          <w:szCs w:val="28"/>
        </w:rPr>
        <w:t>1.7 Lease Agreements &amp; Tenant Commitments</w:t>
      </w:r>
    </w:p>
    <w:p w14:paraId="338A4372"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Tenant legal identity:</w:t>
      </w:r>
      <w:r w:rsidRPr="00FB2CC2">
        <w:rPr>
          <w:sz w:val="28"/>
          <w:szCs w:val="28"/>
        </w:rPr>
        <w:br/>
        <w:t>Altice Portugal | Altice International SA</w:t>
      </w:r>
    </w:p>
    <w:p w14:paraId="5A4A31CC"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Credit profile:</w:t>
      </w:r>
      <w:r w:rsidRPr="00FB2CC2">
        <w:rPr>
          <w:sz w:val="28"/>
          <w:szCs w:val="28"/>
        </w:rPr>
        <w:br/>
        <w:t>BBB (public rating) / Investment Grade</w:t>
      </w:r>
    </w:p>
    <w:p w14:paraId="6B654097"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Lease status:</w:t>
      </w:r>
      <w:r w:rsidRPr="00FB2CC2">
        <w:rPr>
          <w:sz w:val="28"/>
          <w:szCs w:val="28"/>
        </w:rPr>
        <w:br/>
        <w:t>Fully executed binding lease</w:t>
      </w:r>
    </w:p>
    <w:p w14:paraId="266BC6C3"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Lease duration:</w:t>
      </w:r>
      <w:r w:rsidRPr="00FB2CC2">
        <w:rPr>
          <w:sz w:val="28"/>
          <w:szCs w:val="28"/>
        </w:rPr>
        <w:br/>
        <w:t>25 years</w:t>
      </w:r>
    </w:p>
    <w:p w14:paraId="0FB4DB85" w14:textId="3E4AE981"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Rent start date:</w:t>
      </w:r>
      <w:r w:rsidRPr="00FB2CC2">
        <w:rPr>
          <w:sz w:val="28"/>
          <w:szCs w:val="28"/>
        </w:rPr>
        <w:br/>
      </w:r>
      <w:r w:rsidR="00501507" w:rsidRPr="00FB2CC2">
        <w:rPr>
          <w:sz w:val="28"/>
          <w:szCs w:val="28"/>
        </w:rPr>
        <w:t>Current</w:t>
      </w:r>
    </w:p>
    <w:p w14:paraId="28562508" w14:textId="5103DF23"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Rental level:</w:t>
      </w:r>
      <w:r w:rsidRPr="00FB2CC2">
        <w:rPr>
          <w:sz w:val="28"/>
          <w:szCs w:val="28"/>
        </w:rPr>
        <w:br/>
        <w:t>€</w:t>
      </w:r>
      <w:r w:rsidR="00501507" w:rsidRPr="00FB2CC2">
        <w:rPr>
          <w:sz w:val="28"/>
          <w:szCs w:val="28"/>
        </w:rPr>
        <w:t>200</w:t>
      </w:r>
      <w:r w:rsidRPr="00FB2CC2">
        <w:rPr>
          <w:sz w:val="28"/>
          <w:szCs w:val="28"/>
        </w:rPr>
        <w:t xml:space="preserve"> per kW per month</w:t>
      </w:r>
      <w:r w:rsidR="009849BB">
        <w:rPr>
          <w:sz w:val="28"/>
          <w:szCs w:val="28"/>
        </w:rPr>
        <w:t xml:space="preserve">, </w:t>
      </w:r>
      <w:r w:rsidR="009849BB" w:rsidRPr="00FB2CC2">
        <w:rPr>
          <w:sz w:val="28"/>
          <w:szCs w:val="28"/>
        </w:rPr>
        <w:t>€</w:t>
      </w:r>
      <w:r w:rsidR="009849BB">
        <w:rPr>
          <w:sz w:val="28"/>
          <w:szCs w:val="28"/>
        </w:rPr>
        <w:t>115</w:t>
      </w:r>
      <w:r w:rsidR="009849BB" w:rsidRPr="00FB2CC2">
        <w:rPr>
          <w:sz w:val="28"/>
          <w:szCs w:val="28"/>
        </w:rPr>
        <w:t xml:space="preserve"> per kW</w:t>
      </w:r>
      <w:r w:rsidR="009849BB">
        <w:rPr>
          <w:sz w:val="28"/>
          <w:szCs w:val="28"/>
        </w:rPr>
        <w:t xml:space="preserve"> for new hyperscale building</w:t>
      </w:r>
    </w:p>
    <w:p w14:paraId="0BD761BA" w14:textId="1AE39594"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Contracted MW capacity:</w:t>
      </w:r>
      <w:r w:rsidRPr="00FB2CC2">
        <w:rPr>
          <w:sz w:val="28"/>
          <w:szCs w:val="28"/>
        </w:rPr>
        <w:br/>
      </w:r>
      <w:r w:rsidR="00472BC1">
        <w:rPr>
          <w:sz w:val="28"/>
          <w:szCs w:val="28"/>
        </w:rPr>
        <w:t xml:space="preserve">Existing </w:t>
      </w:r>
      <w:r w:rsidR="00501507" w:rsidRPr="00FB2CC2">
        <w:rPr>
          <w:sz w:val="28"/>
          <w:szCs w:val="28"/>
        </w:rPr>
        <w:t>4.</w:t>
      </w:r>
      <w:r w:rsidR="00472BC1">
        <w:rPr>
          <w:sz w:val="28"/>
          <w:szCs w:val="28"/>
        </w:rPr>
        <w:t>8</w:t>
      </w:r>
      <w:r w:rsidR="00501507" w:rsidRPr="00FB2CC2">
        <w:rPr>
          <w:sz w:val="28"/>
          <w:szCs w:val="28"/>
        </w:rPr>
        <w:t>MW</w:t>
      </w:r>
    </w:p>
    <w:p w14:paraId="60CCCA6D" w14:textId="2E2CF132"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Rent escalation mechanism:</w:t>
      </w:r>
      <w:r w:rsidRPr="00FB2CC2">
        <w:rPr>
          <w:sz w:val="28"/>
          <w:szCs w:val="28"/>
        </w:rPr>
        <w:br/>
      </w:r>
      <w:r w:rsidR="00501507" w:rsidRPr="00FB2CC2">
        <w:rPr>
          <w:sz w:val="28"/>
          <w:szCs w:val="28"/>
        </w:rPr>
        <w:t>I</w:t>
      </w:r>
      <w:r w:rsidRPr="00FB2CC2">
        <w:rPr>
          <w:sz w:val="28"/>
          <w:szCs w:val="28"/>
        </w:rPr>
        <w:t xml:space="preserve">ndexation capped at </w:t>
      </w:r>
      <w:r w:rsidR="00501507" w:rsidRPr="00FB2CC2">
        <w:rPr>
          <w:sz w:val="28"/>
          <w:szCs w:val="28"/>
        </w:rPr>
        <w:t>2</w:t>
      </w:r>
      <w:r w:rsidRPr="00FB2CC2">
        <w:rPr>
          <w:sz w:val="28"/>
          <w:szCs w:val="28"/>
        </w:rPr>
        <w:t>% annually</w:t>
      </w:r>
    </w:p>
    <w:p w14:paraId="2B7E97BB"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SLA provisions:</w:t>
      </w:r>
      <w:r w:rsidRPr="00FB2CC2">
        <w:rPr>
          <w:sz w:val="28"/>
          <w:szCs w:val="28"/>
        </w:rPr>
        <w:br/>
        <w:t>99.999% uptime SLA</w:t>
      </w:r>
    </w:p>
    <w:p w14:paraId="328FBC7F"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Termination rights:</w:t>
      </w:r>
      <w:r w:rsidRPr="00FB2CC2">
        <w:rPr>
          <w:sz w:val="28"/>
          <w:szCs w:val="28"/>
        </w:rPr>
        <w:br/>
        <w:t>Standard landlord break rights only</w:t>
      </w:r>
    </w:p>
    <w:p w14:paraId="4F3F2CA0"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lastRenderedPageBreak/>
        <w:t>☑</w:t>
      </w:r>
      <w:r w:rsidRPr="00FB2CC2">
        <w:rPr>
          <w:sz w:val="28"/>
          <w:szCs w:val="28"/>
        </w:rPr>
        <w:t xml:space="preserve"> </w:t>
      </w:r>
      <w:r w:rsidRPr="00FB2CC2">
        <w:rPr>
          <w:b/>
          <w:bCs/>
          <w:sz w:val="28"/>
          <w:szCs w:val="28"/>
        </w:rPr>
        <w:t>Lender step-in rights:</w:t>
      </w:r>
      <w:r w:rsidRPr="00FB2CC2">
        <w:rPr>
          <w:sz w:val="28"/>
          <w:szCs w:val="28"/>
        </w:rPr>
        <w:br/>
        <w:t>Full senior lender step-in secured</w:t>
      </w:r>
    </w:p>
    <w:p w14:paraId="459FE3D2"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Jurisdiction enforceability:</w:t>
      </w:r>
      <w:r w:rsidRPr="00FB2CC2">
        <w:rPr>
          <w:sz w:val="28"/>
          <w:szCs w:val="28"/>
        </w:rPr>
        <w:br/>
        <w:t>Portuguese law / EU jurisdiction</w:t>
      </w:r>
    </w:p>
    <w:p w14:paraId="21F3C622"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Parent company guarantee:</w:t>
      </w:r>
      <w:r w:rsidRPr="00FB2CC2">
        <w:rPr>
          <w:sz w:val="28"/>
          <w:szCs w:val="28"/>
        </w:rPr>
        <w:br/>
        <w:t>Full parent guarantee provided</w:t>
      </w:r>
    </w:p>
    <w:p w14:paraId="2004CDD6"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Credit rating triggers:</w:t>
      </w:r>
      <w:r w:rsidRPr="00FB2CC2">
        <w:rPr>
          <w:sz w:val="28"/>
          <w:szCs w:val="28"/>
        </w:rPr>
        <w:br/>
        <w:t>Downgrade triggers embedded for covenant support</w:t>
      </w:r>
    </w:p>
    <w:p w14:paraId="4A97C3F9" w14:textId="0A1F3617" w:rsidR="003E1B6B" w:rsidRPr="00FB2CC2" w:rsidRDefault="00DF03FD" w:rsidP="003E1B6B">
      <w:pPr>
        <w:pStyle w:val="NormalWeb"/>
        <w:rPr>
          <w:sz w:val="28"/>
          <w:szCs w:val="28"/>
        </w:rPr>
      </w:pPr>
      <w:r>
        <w:rPr>
          <w:sz w:val="28"/>
          <w:szCs w:val="28"/>
        </w:rPr>
        <w:pict w14:anchorId="3B4611A2">
          <v:rect id="_x0000_i1032" style="width:0;height:1.5pt" o:hralign="center" o:hrstd="t" o:hr="t" fillcolor="#a0a0a0" stroked="f"/>
        </w:pict>
      </w:r>
    </w:p>
    <w:p w14:paraId="777FCCDF" w14:textId="77777777" w:rsidR="003E1B6B" w:rsidRPr="00FB2CC2" w:rsidRDefault="003E1B6B" w:rsidP="003E1B6B">
      <w:pPr>
        <w:pStyle w:val="NormalWeb"/>
        <w:rPr>
          <w:b/>
          <w:bCs/>
          <w:sz w:val="28"/>
          <w:szCs w:val="28"/>
        </w:rPr>
      </w:pPr>
      <w:r w:rsidRPr="00FB2CC2">
        <w:rPr>
          <w:b/>
          <w:bCs/>
          <w:sz w:val="28"/>
          <w:szCs w:val="28"/>
        </w:rPr>
        <w:t>1.8 Insurance Package</w:t>
      </w:r>
    </w:p>
    <w:p w14:paraId="7CE38F9A" w14:textId="336F798E"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Construction All Risks (CAR):</w:t>
      </w:r>
      <w:r w:rsidRPr="00FB2CC2">
        <w:rPr>
          <w:sz w:val="28"/>
          <w:szCs w:val="28"/>
        </w:rPr>
        <w:br/>
        <w:t xml:space="preserve">€2.5M CAR policy </w:t>
      </w:r>
      <w:r w:rsidR="00472BC1">
        <w:rPr>
          <w:sz w:val="28"/>
          <w:szCs w:val="28"/>
        </w:rPr>
        <w:t xml:space="preserve">will be </w:t>
      </w:r>
      <w:r w:rsidRPr="00FB2CC2">
        <w:rPr>
          <w:sz w:val="28"/>
          <w:szCs w:val="28"/>
        </w:rPr>
        <w:t>placed via Marsh Europe</w:t>
      </w:r>
    </w:p>
    <w:p w14:paraId="41090C3E"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Delay in Start-Up (DSU):</w:t>
      </w:r>
      <w:r w:rsidRPr="00FB2CC2">
        <w:rPr>
          <w:sz w:val="28"/>
          <w:szCs w:val="28"/>
        </w:rPr>
        <w:br/>
        <w:t>DSU cover up to €60M revenue loss (12-month indemnity period)</w:t>
      </w:r>
    </w:p>
    <w:p w14:paraId="132785C3"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Property Damage Insurance:</w:t>
      </w:r>
      <w:r w:rsidRPr="00FB2CC2">
        <w:rPr>
          <w:sz w:val="28"/>
          <w:szCs w:val="28"/>
        </w:rPr>
        <w:br/>
      </w:r>
      <w:proofErr w:type="gramStart"/>
      <w:r w:rsidRPr="00FB2CC2">
        <w:rPr>
          <w:sz w:val="28"/>
          <w:szCs w:val="28"/>
        </w:rPr>
        <w:t>Post-completion</w:t>
      </w:r>
      <w:proofErr w:type="gramEnd"/>
      <w:r w:rsidRPr="00FB2CC2">
        <w:rPr>
          <w:sz w:val="28"/>
          <w:szCs w:val="28"/>
        </w:rPr>
        <w:t xml:space="preserve"> property policy confirmed with Allianz Global Corporate</w:t>
      </w:r>
    </w:p>
    <w:p w14:paraId="6E433825"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Business Interruption Insurance:</w:t>
      </w:r>
      <w:r w:rsidRPr="00FB2CC2">
        <w:rPr>
          <w:sz w:val="28"/>
          <w:szCs w:val="28"/>
        </w:rPr>
        <w:br/>
        <w:t>€80M annual limit | 24-month indemnity</w:t>
      </w:r>
    </w:p>
    <w:p w14:paraId="23CDC706"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Public and Employers Liability Insurance:</w:t>
      </w:r>
      <w:r w:rsidRPr="00FB2CC2">
        <w:rPr>
          <w:sz w:val="28"/>
          <w:szCs w:val="28"/>
        </w:rPr>
        <w:br/>
        <w:t>€50M cover | Full operational phase policy in place</w:t>
      </w:r>
    </w:p>
    <w:p w14:paraId="2858F418"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Environmental Liability Insurance:</w:t>
      </w:r>
      <w:r w:rsidRPr="00FB2CC2">
        <w:rPr>
          <w:sz w:val="28"/>
          <w:szCs w:val="28"/>
        </w:rPr>
        <w:br/>
        <w:t>€10M pollution liability cover</w:t>
      </w:r>
    </w:p>
    <w:p w14:paraId="7798F80F"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Cybersecurity Insurance:</w:t>
      </w:r>
      <w:r w:rsidRPr="00FB2CC2">
        <w:rPr>
          <w:sz w:val="28"/>
          <w:szCs w:val="28"/>
        </w:rPr>
        <w:br/>
        <w:t>€20M cover for cyberattack and ransomware incidents</w:t>
      </w:r>
    </w:p>
    <w:p w14:paraId="42715242"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Terrorism Insurance:</w:t>
      </w:r>
      <w:r w:rsidRPr="00FB2CC2">
        <w:rPr>
          <w:sz w:val="28"/>
          <w:szCs w:val="28"/>
        </w:rPr>
        <w:br/>
        <w:t>€25M terrorism extension secured</w:t>
      </w:r>
    </w:p>
    <w:p w14:paraId="106D7CBB"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lastRenderedPageBreak/>
        <w:t>☑</w:t>
      </w:r>
      <w:r w:rsidRPr="00FB2CC2">
        <w:rPr>
          <w:sz w:val="28"/>
          <w:szCs w:val="28"/>
        </w:rPr>
        <w:t xml:space="preserve"> </w:t>
      </w:r>
      <w:r w:rsidRPr="00FB2CC2">
        <w:rPr>
          <w:b/>
          <w:bCs/>
          <w:sz w:val="28"/>
          <w:szCs w:val="28"/>
        </w:rPr>
        <w:t>Broker Contacts:</w:t>
      </w:r>
      <w:r w:rsidRPr="00FB2CC2">
        <w:rPr>
          <w:sz w:val="28"/>
          <w:szCs w:val="28"/>
        </w:rPr>
        <w:br/>
        <w:t>Marsh (Lead Broker), Aon (Co-Broker)</w:t>
      </w:r>
    </w:p>
    <w:p w14:paraId="5356C1BD"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Policy Exclusions Review:</w:t>
      </w:r>
      <w:r w:rsidRPr="00FB2CC2">
        <w:rPr>
          <w:sz w:val="28"/>
          <w:szCs w:val="28"/>
        </w:rPr>
        <w:br/>
        <w:t>Standard carve-outs: war, nuclear events, intentional acts, certain cyber exclusions</w:t>
      </w:r>
    </w:p>
    <w:p w14:paraId="42534527" w14:textId="77777777" w:rsidR="003E1B6B" w:rsidRPr="00FB2CC2" w:rsidRDefault="00DF03FD" w:rsidP="003E1B6B">
      <w:pPr>
        <w:pStyle w:val="NormalWeb"/>
        <w:rPr>
          <w:sz w:val="28"/>
          <w:szCs w:val="28"/>
        </w:rPr>
      </w:pPr>
      <w:r>
        <w:rPr>
          <w:sz w:val="28"/>
          <w:szCs w:val="28"/>
        </w:rPr>
        <w:pict w14:anchorId="439A223C">
          <v:rect id="_x0000_i1033" style="width:0;height:1.5pt" o:hralign="center" o:hrstd="t" o:hr="t" fillcolor="#a0a0a0" stroked="f"/>
        </w:pict>
      </w:r>
    </w:p>
    <w:p w14:paraId="0F90CCAD" w14:textId="77777777" w:rsidR="003E1B6B" w:rsidRPr="00FB2CC2" w:rsidRDefault="003E1B6B" w:rsidP="003E1B6B">
      <w:pPr>
        <w:pStyle w:val="NormalWeb"/>
        <w:rPr>
          <w:b/>
          <w:bCs/>
          <w:sz w:val="28"/>
          <w:szCs w:val="28"/>
        </w:rPr>
      </w:pPr>
      <w:r w:rsidRPr="00FB2CC2">
        <w:rPr>
          <w:b/>
          <w:bCs/>
          <w:sz w:val="28"/>
          <w:szCs w:val="28"/>
        </w:rPr>
        <w:t>1.9 Operational Forecasts and Ongoing Costs</w:t>
      </w:r>
    </w:p>
    <w:p w14:paraId="4108C4B7"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Forecast OPEX Breakdown:</w:t>
      </w:r>
    </w:p>
    <w:p w14:paraId="086F7F58" w14:textId="77777777" w:rsidR="003E1B6B" w:rsidRPr="00FB2CC2" w:rsidRDefault="003E1B6B" w:rsidP="003E1B6B">
      <w:pPr>
        <w:pStyle w:val="NormalWeb"/>
        <w:numPr>
          <w:ilvl w:val="0"/>
          <w:numId w:val="15"/>
        </w:numPr>
        <w:rPr>
          <w:sz w:val="28"/>
          <w:szCs w:val="28"/>
        </w:rPr>
      </w:pPr>
      <w:r w:rsidRPr="00FB2CC2">
        <w:rPr>
          <w:sz w:val="28"/>
          <w:szCs w:val="28"/>
        </w:rPr>
        <w:t>Facilities Ops: €5.2M p.a.</w:t>
      </w:r>
    </w:p>
    <w:p w14:paraId="387504CC" w14:textId="77777777" w:rsidR="003E1B6B" w:rsidRPr="00FB2CC2" w:rsidRDefault="003E1B6B" w:rsidP="003E1B6B">
      <w:pPr>
        <w:pStyle w:val="NormalWeb"/>
        <w:numPr>
          <w:ilvl w:val="0"/>
          <w:numId w:val="15"/>
        </w:numPr>
        <w:rPr>
          <w:sz w:val="28"/>
          <w:szCs w:val="28"/>
        </w:rPr>
      </w:pPr>
      <w:r w:rsidRPr="00FB2CC2">
        <w:rPr>
          <w:sz w:val="28"/>
          <w:szCs w:val="28"/>
        </w:rPr>
        <w:t>Security: €1.1M p.a.</w:t>
      </w:r>
    </w:p>
    <w:p w14:paraId="7C45D7ED" w14:textId="77777777" w:rsidR="003E1B6B" w:rsidRPr="00FB2CC2" w:rsidRDefault="003E1B6B" w:rsidP="003E1B6B">
      <w:pPr>
        <w:pStyle w:val="NormalWeb"/>
        <w:numPr>
          <w:ilvl w:val="0"/>
          <w:numId w:val="15"/>
        </w:numPr>
        <w:rPr>
          <w:sz w:val="28"/>
          <w:szCs w:val="28"/>
        </w:rPr>
      </w:pPr>
      <w:r w:rsidRPr="00FB2CC2">
        <w:rPr>
          <w:sz w:val="28"/>
          <w:szCs w:val="28"/>
        </w:rPr>
        <w:t>Maintenance: €2.8M p.a.</w:t>
      </w:r>
    </w:p>
    <w:p w14:paraId="1E79ACCA" w14:textId="77777777" w:rsidR="003E1B6B" w:rsidRPr="00FB2CC2" w:rsidRDefault="003E1B6B" w:rsidP="003E1B6B">
      <w:pPr>
        <w:pStyle w:val="NormalWeb"/>
        <w:numPr>
          <w:ilvl w:val="0"/>
          <w:numId w:val="15"/>
        </w:numPr>
        <w:rPr>
          <w:sz w:val="28"/>
          <w:szCs w:val="28"/>
        </w:rPr>
      </w:pPr>
      <w:r w:rsidRPr="00FB2CC2">
        <w:rPr>
          <w:sz w:val="28"/>
          <w:szCs w:val="28"/>
        </w:rPr>
        <w:t>Management Fees: €3.0M p.a.</w:t>
      </w:r>
    </w:p>
    <w:p w14:paraId="3CE68771" w14:textId="77777777" w:rsidR="003E1B6B" w:rsidRPr="00FB2CC2" w:rsidRDefault="003E1B6B" w:rsidP="003E1B6B">
      <w:pPr>
        <w:pStyle w:val="NormalWeb"/>
        <w:numPr>
          <w:ilvl w:val="0"/>
          <w:numId w:val="15"/>
        </w:numPr>
        <w:rPr>
          <w:sz w:val="28"/>
          <w:szCs w:val="28"/>
        </w:rPr>
      </w:pPr>
      <w:r w:rsidRPr="00FB2CC2">
        <w:rPr>
          <w:sz w:val="28"/>
          <w:szCs w:val="28"/>
        </w:rPr>
        <w:t>Insurance Premiums: €2.4M p.a.</w:t>
      </w:r>
    </w:p>
    <w:p w14:paraId="72E6CD85"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Electricity Pricing Assumptions:</w:t>
      </w:r>
    </w:p>
    <w:p w14:paraId="1B674E7F" w14:textId="5C759701" w:rsidR="003E1B6B" w:rsidRPr="00FB2CC2" w:rsidRDefault="003E1B6B" w:rsidP="003E1B6B">
      <w:pPr>
        <w:pStyle w:val="NormalWeb"/>
        <w:numPr>
          <w:ilvl w:val="0"/>
          <w:numId w:val="16"/>
        </w:numPr>
        <w:rPr>
          <w:sz w:val="28"/>
          <w:szCs w:val="28"/>
        </w:rPr>
      </w:pPr>
      <w:r w:rsidRPr="00FB2CC2">
        <w:rPr>
          <w:sz w:val="28"/>
          <w:szCs w:val="28"/>
        </w:rPr>
        <w:t xml:space="preserve">Purchase price: </w:t>
      </w:r>
      <w:r w:rsidR="001F72A1">
        <w:rPr>
          <w:sz w:val="28"/>
          <w:szCs w:val="28"/>
        </w:rPr>
        <w:t xml:space="preserve">circa </w:t>
      </w:r>
      <w:r w:rsidRPr="00FB2CC2">
        <w:rPr>
          <w:sz w:val="28"/>
          <w:szCs w:val="28"/>
        </w:rPr>
        <w:t>€</w:t>
      </w:r>
      <w:r w:rsidR="00FB2CC2" w:rsidRPr="00FB2CC2">
        <w:rPr>
          <w:sz w:val="28"/>
          <w:szCs w:val="28"/>
        </w:rPr>
        <w:t>130</w:t>
      </w:r>
      <w:r w:rsidRPr="00FB2CC2">
        <w:rPr>
          <w:sz w:val="28"/>
          <w:szCs w:val="28"/>
        </w:rPr>
        <w:t>/MWh (blended PPA rate)</w:t>
      </w:r>
    </w:p>
    <w:p w14:paraId="653B1642" w14:textId="1AD26889" w:rsidR="003E1B6B" w:rsidRPr="00FB2CC2" w:rsidRDefault="003E1B6B" w:rsidP="003E1B6B">
      <w:pPr>
        <w:pStyle w:val="NormalWeb"/>
        <w:numPr>
          <w:ilvl w:val="0"/>
          <w:numId w:val="16"/>
        </w:numPr>
        <w:rPr>
          <w:sz w:val="28"/>
          <w:szCs w:val="28"/>
        </w:rPr>
      </w:pPr>
      <w:r w:rsidRPr="00FB2CC2">
        <w:rPr>
          <w:sz w:val="28"/>
          <w:szCs w:val="28"/>
        </w:rPr>
        <w:t>Sales price to tenant: fully passed through</w:t>
      </w:r>
    </w:p>
    <w:p w14:paraId="26D1BDB1" w14:textId="2C229BCC"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Maintenance Contracts:</w:t>
      </w:r>
      <w:r w:rsidRPr="00FB2CC2">
        <w:rPr>
          <w:sz w:val="28"/>
          <w:szCs w:val="28"/>
        </w:rPr>
        <w:br/>
        <w:t xml:space="preserve">5-year framework agreements secured with </w:t>
      </w:r>
      <w:r w:rsidR="00FB2CC2" w:rsidRPr="00FB2CC2">
        <w:rPr>
          <w:sz w:val="28"/>
          <w:szCs w:val="28"/>
        </w:rPr>
        <w:t>Alfa Laval</w:t>
      </w:r>
      <w:r w:rsidRPr="00FB2CC2">
        <w:rPr>
          <w:sz w:val="28"/>
          <w:szCs w:val="28"/>
        </w:rPr>
        <w:t>, Schneider, Johnson Controls</w:t>
      </w:r>
      <w:r w:rsidR="00FB2CC2" w:rsidRPr="00FB2CC2">
        <w:rPr>
          <w:sz w:val="28"/>
          <w:szCs w:val="28"/>
        </w:rPr>
        <w:t xml:space="preserve"> and others</w:t>
      </w:r>
    </w:p>
    <w:p w14:paraId="5766EF5D"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Facility Management Providers:</w:t>
      </w:r>
      <w:r w:rsidRPr="00FB2CC2">
        <w:rPr>
          <w:sz w:val="28"/>
          <w:szCs w:val="28"/>
        </w:rPr>
        <w:br/>
        <w:t>CBRE (appointed for non-technical facilities management)</w:t>
      </w:r>
    </w:p>
    <w:p w14:paraId="22F9A83D"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Insurance Premiums (Post-Completion):</w:t>
      </w:r>
      <w:r w:rsidRPr="00FB2CC2">
        <w:rPr>
          <w:sz w:val="28"/>
          <w:szCs w:val="28"/>
        </w:rPr>
        <w:br/>
        <w:t>€2.4M p.a. (renewable annually)</w:t>
      </w:r>
    </w:p>
    <w:p w14:paraId="5EB803C0"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Utility Pass-Through Arrangements:</w:t>
      </w:r>
      <w:r w:rsidRPr="00FB2CC2">
        <w:rPr>
          <w:sz w:val="28"/>
          <w:szCs w:val="28"/>
        </w:rPr>
        <w:br/>
        <w:t>100% pass-through to tenants</w:t>
      </w:r>
    </w:p>
    <w:p w14:paraId="5474C38D"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Property Tax Exposures:</w:t>
      </w:r>
      <w:r w:rsidRPr="00FB2CC2">
        <w:rPr>
          <w:sz w:val="28"/>
          <w:szCs w:val="28"/>
        </w:rPr>
        <w:br/>
        <w:t>€850K annual property tax (confirmed with municipality)</w:t>
      </w:r>
    </w:p>
    <w:p w14:paraId="1E7EDA28"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lastRenderedPageBreak/>
        <w:t>☑</w:t>
      </w:r>
      <w:r w:rsidRPr="00FB2CC2">
        <w:rPr>
          <w:sz w:val="28"/>
          <w:szCs w:val="28"/>
        </w:rPr>
        <w:t xml:space="preserve"> </w:t>
      </w:r>
      <w:r w:rsidRPr="00FB2CC2">
        <w:rPr>
          <w:b/>
          <w:bCs/>
          <w:sz w:val="28"/>
          <w:szCs w:val="28"/>
        </w:rPr>
        <w:t>OPEX Inflation Assumptions:</w:t>
      </w:r>
      <w:r w:rsidRPr="00FB2CC2">
        <w:rPr>
          <w:sz w:val="28"/>
          <w:szCs w:val="28"/>
        </w:rPr>
        <w:br/>
        <w:t>1.8% annual inflation applied to forecasted OPEX model</w:t>
      </w:r>
    </w:p>
    <w:p w14:paraId="0383F385" w14:textId="77777777" w:rsidR="003E1B6B" w:rsidRPr="00FB2CC2" w:rsidRDefault="00DF03FD" w:rsidP="003E1B6B">
      <w:pPr>
        <w:pStyle w:val="NormalWeb"/>
        <w:rPr>
          <w:sz w:val="28"/>
          <w:szCs w:val="28"/>
        </w:rPr>
      </w:pPr>
      <w:r>
        <w:rPr>
          <w:sz w:val="28"/>
          <w:szCs w:val="28"/>
        </w:rPr>
        <w:pict w14:anchorId="0B203C6E">
          <v:rect id="_x0000_i1034" style="width:0;height:1.5pt" o:hralign="center" o:hrstd="t" o:hr="t" fillcolor="#a0a0a0" stroked="f"/>
        </w:pict>
      </w:r>
    </w:p>
    <w:p w14:paraId="7821F7A0" w14:textId="77777777" w:rsidR="003E1B6B" w:rsidRPr="00FB2CC2" w:rsidRDefault="003E1B6B" w:rsidP="003E1B6B">
      <w:pPr>
        <w:pStyle w:val="NormalWeb"/>
        <w:rPr>
          <w:b/>
          <w:bCs/>
          <w:sz w:val="28"/>
          <w:szCs w:val="28"/>
        </w:rPr>
      </w:pPr>
      <w:r w:rsidRPr="00FB2CC2">
        <w:rPr>
          <w:b/>
          <w:bCs/>
          <w:sz w:val="28"/>
          <w:szCs w:val="28"/>
        </w:rPr>
        <w:t>1.10 Funding Requirements &amp; Developer Payments</w:t>
      </w:r>
    </w:p>
    <w:p w14:paraId="4A25ABD0"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Total Development Cost:</w:t>
      </w:r>
      <w:r w:rsidRPr="00FB2CC2">
        <w:rPr>
          <w:sz w:val="28"/>
          <w:szCs w:val="28"/>
        </w:rPr>
        <w:br/>
        <w:t>€1.07 billion (land + full build + fees)</w:t>
      </w:r>
    </w:p>
    <w:p w14:paraId="223D199D" w14:textId="01C786B3"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 xml:space="preserve">Equity Invested </w:t>
      </w:r>
      <w:proofErr w:type="gramStart"/>
      <w:r w:rsidRPr="00FB2CC2">
        <w:rPr>
          <w:b/>
          <w:bCs/>
          <w:sz w:val="28"/>
          <w:szCs w:val="28"/>
        </w:rPr>
        <w:t>To</w:t>
      </w:r>
      <w:proofErr w:type="gramEnd"/>
      <w:r w:rsidRPr="00FB2CC2">
        <w:rPr>
          <w:b/>
          <w:bCs/>
          <w:sz w:val="28"/>
          <w:szCs w:val="28"/>
        </w:rPr>
        <w:t xml:space="preserve"> Date:</w:t>
      </w:r>
      <w:r w:rsidRPr="00FB2CC2">
        <w:rPr>
          <w:sz w:val="28"/>
          <w:szCs w:val="28"/>
        </w:rPr>
        <w:br/>
        <w:t xml:space="preserve">€5 million sponsor </w:t>
      </w:r>
      <w:r w:rsidR="00FB2CC2" w:rsidRPr="00FB2CC2">
        <w:rPr>
          <w:sz w:val="28"/>
          <w:szCs w:val="28"/>
        </w:rPr>
        <w:t xml:space="preserve">sweat </w:t>
      </w:r>
      <w:r w:rsidRPr="00FB2CC2">
        <w:rPr>
          <w:sz w:val="28"/>
          <w:szCs w:val="28"/>
        </w:rPr>
        <w:t>equity pre-funding invested</w:t>
      </w:r>
    </w:p>
    <w:p w14:paraId="1D0C67B7" w14:textId="28FB077C"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Developer Payment Milestones:</w:t>
      </w:r>
      <w:r w:rsidRPr="00FB2CC2">
        <w:rPr>
          <w:sz w:val="28"/>
          <w:szCs w:val="28"/>
        </w:rPr>
        <w:br/>
        <w:t>Development fee released at COD (€</w:t>
      </w:r>
      <w:r w:rsidR="00BA6E35">
        <w:rPr>
          <w:sz w:val="28"/>
          <w:szCs w:val="28"/>
        </w:rPr>
        <w:t>10</w:t>
      </w:r>
      <w:r w:rsidRPr="00FB2CC2">
        <w:rPr>
          <w:sz w:val="28"/>
          <w:szCs w:val="28"/>
        </w:rPr>
        <w:t>0M</w:t>
      </w:r>
      <w:r w:rsidR="00BA6E35">
        <w:rPr>
          <w:sz w:val="28"/>
          <w:szCs w:val="28"/>
        </w:rPr>
        <w:t>)</w:t>
      </w:r>
    </w:p>
    <w:p w14:paraId="7FF39C7C"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Working Capital &amp; Post-Completion Reserves:</w:t>
      </w:r>
      <w:r w:rsidRPr="00FB2CC2">
        <w:rPr>
          <w:sz w:val="28"/>
          <w:szCs w:val="28"/>
        </w:rPr>
        <w:br/>
        <w:t>€20M reserve fund secured post-COD</w:t>
      </w:r>
    </w:p>
    <w:p w14:paraId="3FC74C6A" w14:textId="77777777" w:rsidR="003E1B6B" w:rsidRPr="00FB2CC2" w:rsidRDefault="00DF03FD" w:rsidP="003E1B6B">
      <w:pPr>
        <w:pStyle w:val="NormalWeb"/>
        <w:rPr>
          <w:sz w:val="28"/>
          <w:szCs w:val="28"/>
        </w:rPr>
      </w:pPr>
      <w:r>
        <w:rPr>
          <w:sz w:val="28"/>
          <w:szCs w:val="28"/>
        </w:rPr>
        <w:pict w14:anchorId="6EBAF943">
          <v:rect id="_x0000_i1035" style="width:0;height:1.5pt" o:hralign="center" o:hrstd="t" o:hr="t" fillcolor="#a0a0a0" stroked="f"/>
        </w:pict>
      </w:r>
    </w:p>
    <w:p w14:paraId="5BCB52A7" w14:textId="77777777" w:rsidR="003E1B6B" w:rsidRPr="00FB2CC2" w:rsidRDefault="003E1B6B" w:rsidP="003E1B6B">
      <w:pPr>
        <w:pStyle w:val="NormalWeb"/>
        <w:rPr>
          <w:b/>
          <w:bCs/>
          <w:sz w:val="28"/>
          <w:szCs w:val="28"/>
        </w:rPr>
      </w:pPr>
      <w:r w:rsidRPr="00FB2CC2">
        <w:rPr>
          <w:b/>
          <w:bCs/>
          <w:sz w:val="28"/>
          <w:szCs w:val="28"/>
        </w:rPr>
        <w:t>1.11 Key Parties &amp; Contacts</w:t>
      </w:r>
    </w:p>
    <w:p w14:paraId="222EA9D6"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Legal Counsel:</w:t>
      </w:r>
      <w:r w:rsidRPr="00FB2CC2">
        <w:rPr>
          <w:sz w:val="28"/>
          <w:szCs w:val="28"/>
        </w:rPr>
        <w:br/>
        <w:t>CMS Lisbon (Lead Counsel)</w:t>
      </w:r>
    </w:p>
    <w:p w14:paraId="7336300F"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Financial Advisors:</w:t>
      </w:r>
      <w:r w:rsidRPr="00FB2CC2">
        <w:rPr>
          <w:sz w:val="28"/>
          <w:szCs w:val="28"/>
        </w:rPr>
        <w:br/>
        <w:t>Red AMC &amp; TBC (Mandated Institutional Structuring Advisors)</w:t>
      </w:r>
    </w:p>
    <w:p w14:paraId="00DEADEF" w14:textId="7B240CC9"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Project Manager:</w:t>
      </w:r>
      <w:r w:rsidRPr="00FB2CC2">
        <w:rPr>
          <w:sz w:val="28"/>
          <w:szCs w:val="28"/>
        </w:rPr>
        <w:br/>
      </w:r>
      <w:r w:rsidR="00FB2CC2" w:rsidRPr="00FB2CC2">
        <w:rPr>
          <w:sz w:val="28"/>
          <w:szCs w:val="28"/>
        </w:rPr>
        <w:t>Vitor Costa</w:t>
      </w:r>
      <w:r w:rsidRPr="00FB2CC2">
        <w:rPr>
          <w:sz w:val="28"/>
          <w:szCs w:val="28"/>
        </w:rPr>
        <w:t xml:space="preserve"> (</w:t>
      </w:r>
      <w:r w:rsidR="00FB2CC2" w:rsidRPr="00FB2CC2">
        <w:rPr>
          <w:sz w:val="28"/>
          <w:szCs w:val="28"/>
        </w:rPr>
        <w:t>Dark Data Company Ltd</w:t>
      </w:r>
      <w:r w:rsidRPr="00FB2CC2">
        <w:rPr>
          <w:sz w:val="28"/>
          <w:szCs w:val="28"/>
        </w:rPr>
        <w:t xml:space="preserve"> Portugal PM Lead)</w:t>
      </w:r>
    </w:p>
    <w:p w14:paraId="79C34E50" w14:textId="705D6CAB"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Technical Advisors:</w:t>
      </w:r>
      <w:r w:rsidRPr="00FB2CC2">
        <w:rPr>
          <w:sz w:val="28"/>
          <w:szCs w:val="28"/>
        </w:rPr>
        <w:br/>
      </w:r>
      <w:proofErr w:type="spellStart"/>
      <w:r w:rsidR="00FB2CC2" w:rsidRPr="00FB2CC2">
        <w:rPr>
          <w:sz w:val="28"/>
          <w:szCs w:val="28"/>
        </w:rPr>
        <w:t>Sudlows</w:t>
      </w:r>
      <w:proofErr w:type="spellEnd"/>
      <w:r w:rsidR="00FB2CC2" w:rsidRPr="00FB2CC2">
        <w:rPr>
          <w:sz w:val="28"/>
          <w:szCs w:val="28"/>
        </w:rPr>
        <w:t>, Arup, SLC</w:t>
      </w:r>
      <w:r w:rsidRPr="00FB2CC2">
        <w:rPr>
          <w:sz w:val="28"/>
          <w:szCs w:val="28"/>
        </w:rPr>
        <w:t xml:space="preserve"> (Design &amp; Technical Oversight)</w:t>
      </w:r>
    </w:p>
    <w:p w14:paraId="54A03E83"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Insurance Brokers:</w:t>
      </w:r>
      <w:r w:rsidRPr="00FB2CC2">
        <w:rPr>
          <w:sz w:val="28"/>
          <w:szCs w:val="28"/>
        </w:rPr>
        <w:br/>
        <w:t>Marsh Europe / Aon Global</w:t>
      </w:r>
    </w:p>
    <w:p w14:paraId="228AF8BD" w14:textId="77777777" w:rsidR="003E1B6B" w:rsidRPr="00FB2CC2" w:rsidRDefault="00DF03FD" w:rsidP="003E1B6B">
      <w:pPr>
        <w:pStyle w:val="NormalWeb"/>
        <w:rPr>
          <w:sz w:val="28"/>
          <w:szCs w:val="28"/>
        </w:rPr>
      </w:pPr>
      <w:r>
        <w:rPr>
          <w:sz w:val="28"/>
          <w:szCs w:val="28"/>
        </w:rPr>
        <w:pict w14:anchorId="15F96D1D">
          <v:rect id="_x0000_i1036" style="width:0;height:1.5pt" o:hralign="center" o:hrstd="t" o:hr="t" fillcolor="#a0a0a0" stroked="f"/>
        </w:pict>
      </w:r>
    </w:p>
    <w:p w14:paraId="487539A2" w14:textId="77777777" w:rsidR="003E1B6B" w:rsidRPr="00FB2CC2" w:rsidRDefault="003E1B6B" w:rsidP="003E1B6B">
      <w:pPr>
        <w:pStyle w:val="NormalWeb"/>
        <w:rPr>
          <w:b/>
          <w:bCs/>
          <w:sz w:val="28"/>
          <w:szCs w:val="28"/>
        </w:rPr>
      </w:pPr>
      <w:r w:rsidRPr="00FB2CC2">
        <w:rPr>
          <w:b/>
          <w:bCs/>
          <w:sz w:val="28"/>
          <w:szCs w:val="28"/>
        </w:rPr>
        <w:lastRenderedPageBreak/>
        <w:t>1.12 Project Commercialisation Rights</w:t>
      </w:r>
    </w:p>
    <w:p w14:paraId="5430E6EC" w14:textId="654BB5BC"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Developer IP Ownership:</w:t>
      </w:r>
      <w:r w:rsidRPr="00FB2CC2">
        <w:rPr>
          <w:sz w:val="28"/>
          <w:szCs w:val="28"/>
        </w:rPr>
        <w:br/>
        <w:t>Confirmed: Full IP owned by D</w:t>
      </w:r>
      <w:r w:rsidR="00FB2CC2" w:rsidRPr="00FB2CC2">
        <w:rPr>
          <w:sz w:val="28"/>
          <w:szCs w:val="28"/>
        </w:rPr>
        <w:t>ark</w:t>
      </w:r>
      <w:r w:rsidRPr="00FB2CC2">
        <w:rPr>
          <w:sz w:val="28"/>
          <w:szCs w:val="28"/>
        </w:rPr>
        <w:t xml:space="preserve"> Data Company Ltd | RED AMC retains structuring rights for capital markets platform execution.</w:t>
      </w:r>
    </w:p>
    <w:p w14:paraId="7317DB3A" w14:textId="77777777" w:rsidR="003E1B6B" w:rsidRPr="00FB2CC2" w:rsidRDefault="00DF03FD" w:rsidP="003E1B6B">
      <w:pPr>
        <w:pStyle w:val="NormalWeb"/>
        <w:rPr>
          <w:sz w:val="28"/>
          <w:szCs w:val="28"/>
        </w:rPr>
      </w:pPr>
      <w:r>
        <w:rPr>
          <w:sz w:val="28"/>
          <w:szCs w:val="28"/>
        </w:rPr>
        <w:pict w14:anchorId="1CDBA90F">
          <v:rect id="_x0000_i1037" style="width:0;height:1.5pt" o:hralign="center" o:hrstd="t" o:hr="t" fillcolor="#a0a0a0" stroked="f"/>
        </w:pict>
      </w:r>
    </w:p>
    <w:p w14:paraId="754224B2" w14:textId="77777777" w:rsidR="003E1B6B" w:rsidRPr="00FB2CC2" w:rsidRDefault="003E1B6B" w:rsidP="003E1B6B">
      <w:pPr>
        <w:pStyle w:val="NormalWeb"/>
        <w:rPr>
          <w:b/>
          <w:bCs/>
          <w:sz w:val="28"/>
          <w:szCs w:val="28"/>
        </w:rPr>
      </w:pPr>
      <w:r w:rsidRPr="00FB2CC2">
        <w:rPr>
          <w:b/>
          <w:bCs/>
          <w:sz w:val="28"/>
          <w:szCs w:val="28"/>
        </w:rPr>
        <w:t>SECTION 2 — Institutional Readiness</w:t>
      </w:r>
    </w:p>
    <w:p w14:paraId="0586BEC6" w14:textId="77777777" w:rsidR="003E1B6B" w:rsidRPr="00FB2CC2" w:rsidRDefault="00DF03FD" w:rsidP="003E1B6B">
      <w:pPr>
        <w:pStyle w:val="NormalWeb"/>
        <w:rPr>
          <w:sz w:val="28"/>
          <w:szCs w:val="28"/>
        </w:rPr>
      </w:pPr>
      <w:r>
        <w:rPr>
          <w:sz w:val="28"/>
          <w:szCs w:val="28"/>
        </w:rPr>
        <w:pict w14:anchorId="31F16EC7">
          <v:rect id="_x0000_i1038" style="width:0;height:1.5pt" o:hralign="center" o:hrstd="t" o:hr="t" fillcolor="#a0a0a0" stroked="f"/>
        </w:pict>
      </w:r>
    </w:p>
    <w:p w14:paraId="1D515A05" w14:textId="77777777" w:rsidR="003E1B6B" w:rsidRPr="00FB2CC2" w:rsidRDefault="003E1B6B" w:rsidP="003E1B6B">
      <w:pPr>
        <w:pStyle w:val="NormalWeb"/>
        <w:rPr>
          <w:b/>
          <w:bCs/>
          <w:sz w:val="28"/>
          <w:szCs w:val="28"/>
        </w:rPr>
      </w:pPr>
      <w:r w:rsidRPr="00FB2CC2">
        <w:rPr>
          <w:b/>
          <w:bCs/>
          <w:sz w:val="28"/>
          <w:szCs w:val="28"/>
        </w:rPr>
        <w:t>2.1 Developer Experience &amp; Delivery Credentials</w:t>
      </w:r>
    </w:p>
    <w:p w14:paraId="54F72C1C" w14:textId="0729E99D"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Historical MW Delivered:</w:t>
      </w:r>
      <w:r w:rsidRPr="00FB2CC2">
        <w:rPr>
          <w:sz w:val="28"/>
          <w:szCs w:val="28"/>
        </w:rPr>
        <w:br/>
      </w:r>
      <w:r w:rsidR="00FB2CC2" w:rsidRPr="00FB2CC2">
        <w:rPr>
          <w:sz w:val="28"/>
          <w:szCs w:val="28"/>
        </w:rPr>
        <w:t>6,000</w:t>
      </w:r>
      <w:r w:rsidRPr="00FB2CC2">
        <w:rPr>
          <w:sz w:val="28"/>
          <w:szCs w:val="28"/>
        </w:rPr>
        <w:t xml:space="preserve"> MW delivered across prior hyperscale projects (team collective)</w:t>
      </w:r>
    </w:p>
    <w:p w14:paraId="29641427"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Roles Held by Team Members:</w:t>
      </w:r>
    </w:p>
    <w:p w14:paraId="7F65D7CF" w14:textId="79785367" w:rsidR="003E1B6B" w:rsidRPr="00FB2CC2" w:rsidRDefault="003E1B6B" w:rsidP="003E1B6B">
      <w:pPr>
        <w:pStyle w:val="NormalWeb"/>
        <w:numPr>
          <w:ilvl w:val="0"/>
          <w:numId w:val="17"/>
        </w:numPr>
        <w:rPr>
          <w:sz w:val="28"/>
          <w:szCs w:val="28"/>
        </w:rPr>
      </w:pPr>
      <w:r w:rsidRPr="00FB2CC2">
        <w:rPr>
          <w:sz w:val="28"/>
          <w:szCs w:val="28"/>
        </w:rPr>
        <w:t>CEO: Ex-global head hyperscale delivery (former €</w:t>
      </w:r>
      <w:r w:rsidR="00FB2CC2" w:rsidRPr="00FB2CC2">
        <w:rPr>
          <w:sz w:val="28"/>
          <w:szCs w:val="28"/>
        </w:rPr>
        <w:t>3.5</w:t>
      </w:r>
      <w:r w:rsidRPr="00FB2CC2">
        <w:rPr>
          <w:sz w:val="28"/>
          <w:szCs w:val="28"/>
        </w:rPr>
        <w:t>B platform)</w:t>
      </w:r>
    </w:p>
    <w:p w14:paraId="01151085" w14:textId="4FBB979C" w:rsidR="003E1B6B" w:rsidRPr="00FB2CC2" w:rsidRDefault="003E1B6B" w:rsidP="003E1B6B">
      <w:pPr>
        <w:pStyle w:val="NormalWeb"/>
        <w:numPr>
          <w:ilvl w:val="0"/>
          <w:numId w:val="17"/>
        </w:numPr>
        <w:rPr>
          <w:sz w:val="28"/>
          <w:szCs w:val="28"/>
        </w:rPr>
      </w:pPr>
      <w:r w:rsidRPr="00FB2CC2">
        <w:rPr>
          <w:sz w:val="28"/>
          <w:szCs w:val="28"/>
        </w:rPr>
        <w:t>C</w:t>
      </w:r>
      <w:r w:rsidR="00FB2CC2" w:rsidRPr="00FB2CC2">
        <w:rPr>
          <w:sz w:val="28"/>
          <w:szCs w:val="28"/>
        </w:rPr>
        <w:t>T</w:t>
      </w:r>
      <w:r w:rsidRPr="00FB2CC2">
        <w:rPr>
          <w:sz w:val="28"/>
          <w:szCs w:val="28"/>
        </w:rPr>
        <w:t>O: Ex-project director Tier 1 DC integrator</w:t>
      </w:r>
    </w:p>
    <w:p w14:paraId="20277C96" w14:textId="77777777" w:rsidR="003E1B6B" w:rsidRPr="00FB2CC2" w:rsidRDefault="003E1B6B" w:rsidP="003E1B6B">
      <w:pPr>
        <w:pStyle w:val="NormalWeb"/>
        <w:numPr>
          <w:ilvl w:val="0"/>
          <w:numId w:val="17"/>
        </w:numPr>
        <w:rPr>
          <w:sz w:val="28"/>
          <w:szCs w:val="28"/>
        </w:rPr>
      </w:pPr>
      <w:r w:rsidRPr="00FB2CC2">
        <w:rPr>
          <w:sz w:val="28"/>
          <w:szCs w:val="28"/>
        </w:rPr>
        <w:t>CFO: Ex-investment director (institutional DC fund)</w:t>
      </w:r>
    </w:p>
    <w:p w14:paraId="25E337CC" w14:textId="0D2CD6C6"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Current Management Team Org Chart:</w:t>
      </w:r>
      <w:r w:rsidRPr="00FB2CC2">
        <w:rPr>
          <w:sz w:val="28"/>
          <w:szCs w:val="28"/>
        </w:rPr>
        <w:br/>
        <w:t xml:space="preserve">Full </w:t>
      </w:r>
      <w:r w:rsidR="00FB2CC2" w:rsidRPr="00FB2CC2">
        <w:rPr>
          <w:sz w:val="28"/>
          <w:szCs w:val="28"/>
        </w:rPr>
        <w:t>Dark Data Company</w:t>
      </w:r>
      <w:r w:rsidRPr="00FB2CC2">
        <w:rPr>
          <w:sz w:val="28"/>
          <w:szCs w:val="28"/>
        </w:rPr>
        <w:t xml:space="preserve"> organizational chart provided (attached separately)</w:t>
      </w:r>
    </w:p>
    <w:p w14:paraId="18E06005"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External Advisors Retained:</w:t>
      </w:r>
    </w:p>
    <w:p w14:paraId="72D065E9" w14:textId="77777777" w:rsidR="003E1B6B" w:rsidRPr="00FB2CC2" w:rsidRDefault="003E1B6B" w:rsidP="003E1B6B">
      <w:pPr>
        <w:pStyle w:val="NormalWeb"/>
        <w:numPr>
          <w:ilvl w:val="0"/>
          <w:numId w:val="18"/>
        </w:numPr>
        <w:rPr>
          <w:sz w:val="28"/>
          <w:szCs w:val="28"/>
        </w:rPr>
      </w:pPr>
      <w:r w:rsidRPr="00FB2CC2">
        <w:rPr>
          <w:sz w:val="28"/>
          <w:szCs w:val="28"/>
        </w:rPr>
        <w:t>Legal: CMS</w:t>
      </w:r>
    </w:p>
    <w:p w14:paraId="3FE285C8" w14:textId="62E34701" w:rsidR="003E1B6B" w:rsidRPr="00FB2CC2" w:rsidRDefault="003E1B6B" w:rsidP="003E1B6B">
      <w:pPr>
        <w:pStyle w:val="NormalWeb"/>
        <w:numPr>
          <w:ilvl w:val="0"/>
          <w:numId w:val="18"/>
        </w:numPr>
        <w:rPr>
          <w:sz w:val="28"/>
          <w:szCs w:val="28"/>
        </w:rPr>
      </w:pPr>
      <w:r w:rsidRPr="00FB2CC2">
        <w:rPr>
          <w:sz w:val="28"/>
          <w:szCs w:val="28"/>
        </w:rPr>
        <w:t>Technical: Arup</w:t>
      </w:r>
    </w:p>
    <w:p w14:paraId="70331BB3" w14:textId="77777777" w:rsidR="003E1B6B" w:rsidRPr="00FB2CC2" w:rsidRDefault="003E1B6B" w:rsidP="003E1B6B">
      <w:pPr>
        <w:pStyle w:val="NormalWeb"/>
        <w:numPr>
          <w:ilvl w:val="0"/>
          <w:numId w:val="18"/>
        </w:numPr>
        <w:rPr>
          <w:sz w:val="28"/>
          <w:szCs w:val="28"/>
        </w:rPr>
      </w:pPr>
      <w:r w:rsidRPr="00FB2CC2">
        <w:rPr>
          <w:sz w:val="28"/>
          <w:szCs w:val="28"/>
        </w:rPr>
        <w:t>Financial: RED AMC / TBC</w:t>
      </w:r>
    </w:p>
    <w:p w14:paraId="73BA9E41" w14:textId="77777777" w:rsidR="003E1B6B" w:rsidRPr="00FB2CC2" w:rsidRDefault="003E1B6B" w:rsidP="003E1B6B">
      <w:pPr>
        <w:pStyle w:val="NormalWeb"/>
        <w:numPr>
          <w:ilvl w:val="0"/>
          <w:numId w:val="18"/>
        </w:numPr>
        <w:rPr>
          <w:sz w:val="28"/>
          <w:szCs w:val="28"/>
        </w:rPr>
      </w:pPr>
      <w:r w:rsidRPr="00FB2CC2">
        <w:rPr>
          <w:sz w:val="28"/>
          <w:szCs w:val="28"/>
        </w:rPr>
        <w:t>Insurance: Marsh / Aon</w:t>
      </w:r>
    </w:p>
    <w:p w14:paraId="59562A1C" w14:textId="77777777" w:rsidR="003E1B6B" w:rsidRPr="00FB2CC2" w:rsidRDefault="00DF03FD" w:rsidP="003E1B6B">
      <w:pPr>
        <w:pStyle w:val="NormalWeb"/>
        <w:rPr>
          <w:sz w:val="28"/>
          <w:szCs w:val="28"/>
        </w:rPr>
      </w:pPr>
      <w:r>
        <w:rPr>
          <w:sz w:val="28"/>
          <w:szCs w:val="28"/>
        </w:rPr>
        <w:pict w14:anchorId="1633A954">
          <v:rect id="_x0000_i1039" style="width:0;height:1.5pt" o:hralign="center" o:hrstd="t" o:hr="t" fillcolor="#a0a0a0" stroked="f"/>
        </w:pict>
      </w:r>
    </w:p>
    <w:p w14:paraId="599A4FCF" w14:textId="77777777" w:rsidR="003E1B6B" w:rsidRPr="00FB2CC2" w:rsidRDefault="003E1B6B" w:rsidP="003E1B6B">
      <w:pPr>
        <w:pStyle w:val="NormalWeb"/>
        <w:rPr>
          <w:b/>
          <w:bCs/>
          <w:sz w:val="28"/>
          <w:szCs w:val="28"/>
        </w:rPr>
      </w:pPr>
      <w:r w:rsidRPr="00FB2CC2">
        <w:rPr>
          <w:b/>
          <w:bCs/>
          <w:sz w:val="28"/>
          <w:szCs w:val="28"/>
        </w:rPr>
        <w:t>2.2 Delivery Governance &amp; Oversight</w:t>
      </w:r>
    </w:p>
    <w:p w14:paraId="0FF497A9" w14:textId="1BB89343"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Independent Technical Advisor (ITA):</w:t>
      </w:r>
      <w:r w:rsidRPr="00FB2CC2">
        <w:rPr>
          <w:sz w:val="28"/>
          <w:szCs w:val="28"/>
        </w:rPr>
        <w:br/>
        <w:t xml:space="preserve">Arup </w:t>
      </w:r>
      <w:r w:rsidR="00FB2CC2">
        <w:rPr>
          <w:sz w:val="28"/>
          <w:szCs w:val="28"/>
        </w:rPr>
        <w:t>will perform duties</w:t>
      </w:r>
      <w:r w:rsidRPr="00FB2CC2">
        <w:rPr>
          <w:sz w:val="28"/>
          <w:szCs w:val="28"/>
        </w:rPr>
        <w:t xml:space="preserve"> as ITA</w:t>
      </w:r>
    </w:p>
    <w:p w14:paraId="356AF19B"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lastRenderedPageBreak/>
        <w:t>☑</w:t>
      </w:r>
      <w:r w:rsidRPr="00FB2CC2">
        <w:rPr>
          <w:sz w:val="28"/>
          <w:szCs w:val="28"/>
        </w:rPr>
        <w:t xml:space="preserve"> </w:t>
      </w:r>
      <w:r w:rsidRPr="00FB2CC2">
        <w:rPr>
          <w:b/>
          <w:bCs/>
          <w:sz w:val="28"/>
          <w:szCs w:val="28"/>
        </w:rPr>
        <w:t>Independent Certifier Reporting Frequency:</w:t>
      </w:r>
      <w:r w:rsidRPr="00FB2CC2">
        <w:rPr>
          <w:sz w:val="28"/>
          <w:szCs w:val="28"/>
        </w:rPr>
        <w:br/>
        <w:t>Monthly certification and drawdown reports</w:t>
      </w:r>
    </w:p>
    <w:p w14:paraId="62C39E86"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Monthly Governance Board Calendar:</w:t>
      </w:r>
      <w:r w:rsidRPr="00FB2CC2">
        <w:rPr>
          <w:sz w:val="28"/>
          <w:szCs w:val="28"/>
        </w:rPr>
        <w:br/>
        <w:t>Monthly steering committee established for full build phase</w:t>
      </w:r>
    </w:p>
    <w:p w14:paraId="05A56502"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Approval Authority Matrix:</w:t>
      </w:r>
      <w:r w:rsidRPr="00FB2CC2">
        <w:rPr>
          <w:sz w:val="28"/>
          <w:szCs w:val="28"/>
        </w:rPr>
        <w:br/>
        <w:t>Defined; dual sign-off thresholds agreed for claims &gt;€1M</w:t>
      </w:r>
    </w:p>
    <w:p w14:paraId="3520A78A"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Contract Administration Protocols:</w:t>
      </w:r>
      <w:r w:rsidRPr="00FB2CC2">
        <w:rPr>
          <w:sz w:val="28"/>
          <w:szCs w:val="28"/>
        </w:rPr>
        <w:br/>
        <w:t>Escalation protocols embedded in GMP contract terms</w:t>
      </w:r>
    </w:p>
    <w:p w14:paraId="40C81A3F"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Data Room Sign-Off:</w:t>
      </w:r>
      <w:r w:rsidRPr="00FB2CC2">
        <w:rPr>
          <w:sz w:val="28"/>
          <w:szCs w:val="28"/>
        </w:rPr>
        <w:br/>
        <w:t>Data Room will be fully certified prior to capital markets engagement (under RED AMC control)</w:t>
      </w:r>
    </w:p>
    <w:p w14:paraId="57A3B6CE"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Independent Funder Representative (Optional):</w:t>
      </w:r>
      <w:r w:rsidRPr="00FB2CC2">
        <w:rPr>
          <w:sz w:val="28"/>
          <w:szCs w:val="28"/>
        </w:rPr>
        <w:br/>
        <w:t>Option reserved for institutional investors at funding stage</w:t>
      </w:r>
    </w:p>
    <w:p w14:paraId="3EA8E776" w14:textId="77777777" w:rsidR="003E1B6B" w:rsidRPr="00FB2CC2" w:rsidRDefault="00DF03FD" w:rsidP="003E1B6B">
      <w:pPr>
        <w:pStyle w:val="NormalWeb"/>
        <w:rPr>
          <w:sz w:val="28"/>
          <w:szCs w:val="28"/>
        </w:rPr>
      </w:pPr>
      <w:r>
        <w:rPr>
          <w:sz w:val="28"/>
          <w:szCs w:val="28"/>
        </w:rPr>
        <w:pict w14:anchorId="56F3B79B">
          <v:rect id="_x0000_i1040" style="width:0;height:1.5pt" o:hralign="center" o:hrstd="t" o:hr="t" fillcolor="#a0a0a0" stroked="f"/>
        </w:pict>
      </w:r>
    </w:p>
    <w:p w14:paraId="70C45F8C" w14:textId="77777777" w:rsidR="003E1B6B" w:rsidRPr="00FB2CC2" w:rsidRDefault="003E1B6B" w:rsidP="003E1B6B">
      <w:pPr>
        <w:pStyle w:val="NormalWeb"/>
        <w:rPr>
          <w:b/>
          <w:bCs/>
          <w:sz w:val="28"/>
          <w:szCs w:val="28"/>
        </w:rPr>
      </w:pPr>
      <w:r w:rsidRPr="00FB2CC2">
        <w:rPr>
          <w:b/>
          <w:bCs/>
          <w:sz w:val="28"/>
          <w:szCs w:val="28"/>
        </w:rPr>
        <w:t>2.3 Tier 1 Contractor Financial Covenant Monitoring</w:t>
      </w:r>
    </w:p>
    <w:p w14:paraId="38927B37" w14:textId="1EF20BE3"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Audited Financials:</w:t>
      </w:r>
      <w:r w:rsidRPr="00FB2CC2">
        <w:rPr>
          <w:sz w:val="28"/>
          <w:szCs w:val="28"/>
        </w:rPr>
        <w:br/>
        <w:t xml:space="preserve">3-year audited financials for </w:t>
      </w:r>
      <w:r w:rsidR="00FB2CC2">
        <w:rPr>
          <w:sz w:val="28"/>
          <w:szCs w:val="28"/>
        </w:rPr>
        <w:t>Contractor</w:t>
      </w:r>
      <w:r w:rsidRPr="00FB2CC2">
        <w:rPr>
          <w:sz w:val="28"/>
          <w:szCs w:val="28"/>
        </w:rPr>
        <w:t xml:space="preserve"> filed in data room</w:t>
      </w:r>
    </w:p>
    <w:p w14:paraId="668DC279"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Bonding Capacity Confirmation:</w:t>
      </w:r>
      <w:r w:rsidRPr="00FB2CC2">
        <w:rPr>
          <w:sz w:val="28"/>
          <w:szCs w:val="28"/>
        </w:rPr>
        <w:br/>
        <w:t>€120M active bonding capacity confirmed (Zurich Insurance)</w:t>
      </w:r>
    </w:p>
    <w:p w14:paraId="676A7F76"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On-Time Delivery Track Record:</w:t>
      </w:r>
      <w:r w:rsidRPr="00FB2CC2">
        <w:rPr>
          <w:sz w:val="28"/>
          <w:szCs w:val="28"/>
        </w:rPr>
        <w:br/>
        <w:t>95% on-time delivery for last 7 major Tier 1 DC builds</w:t>
      </w:r>
    </w:p>
    <w:p w14:paraId="7BA8B418"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Contractor Workload Capacity:</w:t>
      </w:r>
      <w:r w:rsidRPr="00FB2CC2">
        <w:rPr>
          <w:sz w:val="28"/>
          <w:szCs w:val="28"/>
        </w:rPr>
        <w:br/>
        <w:t>Current capacity &gt; €500M annual turnover — sufficient for project scale</w:t>
      </w:r>
    </w:p>
    <w:p w14:paraId="121201F2"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Insurance Claims History:</w:t>
      </w:r>
      <w:r w:rsidRPr="00FB2CC2">
        <w:rPr>
          <w:sz w:val="28"/>
          <w:szCs w:val="28"/>
        </w:rPr>
        <w:br/>
        <w:t>No significant claims reported in last 5 years</w:t>
      </w:r>
    </w:p>
    <w:p w14:paraId="57E152E4" w14:textId="77777777" w:rsidR="003E1B6B" w:rsidRPr="00FB2CC2" w:rsidRDefault="00DF03FD" w:rsidP="003E1B6B">
      <w:pPr>
        <w:pStyle w:val="NormalWeb"/>
        <w:rPr>
          <w:sz w:val="28"/>
          <w:szCs w:val="28"/>
        </w:rPr>
      </w:pPr>
      <w:r>
        <w:rPr>
          <w:sz w:val="28"/>
          <w:szCs w:val="28"/>
        </w:rPr>
        <w:pict w14:anchorId="5ED7A912">
          <v:rect id="_x0000_i1041" style="width:0;height:1.5pt" o:hralign="center" o:hrstd="t" o:hr="t" fillcolor="#a0a0a0" stroked="f"/>
        </w:pict>
      </w:r>
    </w:p>
    <w:p w14:paraId="7A35D495" w14:textId="77777777" w:rsidR="003E1B6B" w:rsidRPr="00FB2CC2" w:rsidRDefault="003E1B6B" w:rsidP="003E1B6B">
      <w:pPr>
        <w:pStyle w:val="NormalWeb"/>
        <w:rPr>
          <w:b/>
          <w:bCs/>
          <w:sz w:val="28"/>
          <w:szCs w:val="28"/>
        </w:rPr>
      </w:pPr>
      <w:r w:rsidRPr="00FB2CC2">
        <w:rPr>
          <w:b/>
          <w:bCs/>
          <w:sz w:val="28"/>
          <w:szCs w:val="28"/>
        </w:rPr>
        <w:lastRenderedPageBreak/>
        <w:t>2.4 Developer Capital Exposure</w:t>
      </w:r>
    </w:p>
    <w:p w14:paraId="7E295D93" w14:textId="262EE99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Sponsor Equity Already Invested:</w:t>
      </w:r>
      <w:r w:rsidRPr="00FB2CC2">
        <w:rPr>
          <w:sz w:val="28"/>
          <w:szCs w:val="28"/>
        </w:rPr>
        <w:br/>
        <w:t>€5M committed equity deployed</w:t>
      </w:r>
    </w:p>
    <w:p w14:paraId="13F7BD93"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External Co-Investors:</w:t>
      </w:r>
      <w:r w:rsidRPr="00FB2CC2">
        <w:rPr>
          <w:sz w:val="28"/>
          <w:szCs w:val="28"/>
        </w:rPr>
        <w:br/>
        <w:t>None at present — 100% sponsor equity to-date</w:t>
      </w:r>
    </w:p>
    <w:p w14:paraId="22307CE8" w14:textId="537BD302"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Developer Balance Sheet Summary:</w:t>
      </w:r>
      <w:r w:rsidRPr="00FB2CC2">
        <w:rPr>
          <w:sz w:val="28"/>
          <w:szCs w:val="28"/>
        </w:rPr>
        <w:br/>
      </w:r>
      <w:r w:rsidR="00FB2CC2">
        <w:rPr>
          <w:sz w:val="28"/>
          <w:szCs w:val="28"/>
        </w:rPr>
        <w:t>Newco</w:t>
      </w:r>
    </w:p>
    <w:p w14:paraId="39349537" w14:textId="77777777" w:rsidR="003E1B6B" w:rsidRPr="00FB2CC2" w:rsidRDefault="00DF03FD" w:rsidP="003E1B6B">
      <w:pPr>
        <w:pStyle w:val="NormalWeb"/>
        <w:rPr>
          <w:sz w:val="28"/>
          <w:szCs w:val="28"/>
        </w:rPr>
      </w:pPr>
      <w:r>
        <w:rPr>
          <w:sz w:val="28"/>
          <w:szCs w:val="28"/>
        </w:rPr>
        <w:pict w14:anchorId="127E09BC">
          <v:rect id="_x0000_i1042" style="width:0;height:1.5pt" o:hralign="center" o:hrstd="t" o:hr="t" fillcolor="#a0a0a0" stroked="f"/>
        </w:pict>
      </w:r>
    </w:p>
    <w:p w14:paraId="314D3D04" w14:textId="77777777" w:rsidR="003E1B6B" w:rsidRPr="00FB2CC2" w:rsidRDefault="003E1B6B" w:rsidP="003E1B6B">
      <w:pPr>
        <w:pStyle w:val="NormalWeb"/>
        <w:rPr>
          <w:b/>
          <w:bCs/>
          <w:sz w:val="28"/>
          <w:szCs w:val="28"/>
        </w:rPr>
      </w:pPr>
      <w:r w:rsidRPr="00FB2CC2">
        <w:rPr>
          <w:b/>
          <w:bCs/>
          <w:sz w:val="28"/>
          <w:szCs w:val="28"/>
        </w:rPr>
        <w:t>2.5 Pre-Completion Liquidity Arrangements</w:t>
      </w:r>
    </w:p>
    <w:p w14:paraId="7B2A9AB7"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Construction Phase Liquidity Plan:</w:t>
      </w:r>
      <w:r w:rsidRPr="00FB2CC2">
        <w:rPr>
          <w:sz w:val="28"/>
          <w:szCs w:val="28"/>
        </w:rPr>
        <w:br/>
        <w:t>Full liquidity forecast prepared covering monthly cashflow through COD</w:t>
      </w:r>
    </w:p>
    <w:p w14:paraId="2C7E5DA3" w14:textId="62396701"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Interim Banking Facilities:</w:t>
      </w:r>
      <w:r w:rsidRPr="00FB2CC2">
        <w:rPr>
          <w:sz w:val="28"/>
          <w:szCs w:val="28"/>
        </w:rPr>
        <w:br/>
        <w:t xml:space="preserve">€30M revolving credit facility secured via </w:t>
      </w:r>
      <w:r w:rsidR="001F72A1">
        <w:rPr>
          <w:sz w:val="28"/>
          <w:szCs w:val="28"/>
        </w:rPr>
        <w:t>Barclays Bank Monaco</w:t>
      </w:r>
    </w:p>
    <w:p w14:paraId="06DAF323"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Full Drawdown Schedule:</w:t>
      </w:r>
      <w:r w:rsidRPr="00FB2CC2">
        <w:rPr>
          <w:sz w:val="28"/>
          <w:szCs w:val="28"/>
        </w:rPr>
        <w:br/>
        <w:t>Senior debt drawdown schedule mapped to 12 certified construction milestones; profit release tranches tied to COD</w:t>
      </w:r>
    </w:p>
    <w:p w14:paraId="18AE2CAE" w14:textId="77777777" w:rsidR="003E1B6B" w:rsidRPr="00FB2CC2" w:rsidRDefault="00DF03FD" w:rsidP="003E1B6B">
      <w:pPr>
        <w:pStyle w:val="NormalWeb"/>
        <w:rPr>
          <w:sz w:val="28"/>
          <w:szCs w:val="28"/>
        </w:rPr>
      </w:pPr>
      <w:r>
        <w:rPr>
          <w:sz w:val="28"/>
          <w:szCs w:val="28"/>
        </w:rPr>
        <w:pict w14:anchorId="08481DE2">
          <v:rect id="_x0000_i1043" style="width:0;height:1.5pt" o:hralign="center" o:hrstd="t" o:hr="t" fillcolor="#a0a0a0" stroked="f"/>
        </w:pict>
      </w:r>
    </w:p>
    <w:p w14:paraId="6CF4D411" w14:textId="77777777" w:rsidR="003E1B6B" w:rsidRPr="00FB2CC2" w:rsidRDefault="003E1B6B" w:rsidP="003E1B6B">
      <w:pPr>
        <w:pStyle w:val="NormalWeb"/>
        <w:rPr>
          <w:b/>
          <w:bCs/>
          <w:sz w:val="28"/>
          <w:szCs w:val="28"/>
        </w:rPr>
      </w:pPr>
      <w:r w:rsidRPr="00FB2CC2">
        <w:rPr>
          <w:b/>
          <w:bCs/>
          <w:sz w:val="28"/>
          <w:szCs w:val="28"/>
        </w:rPr>
        <w:t>2.6 Operations Team &amp; Commissioning Readiness</w:t>
      </w:r>
    </w:p>
    <w:p w14:paraId="07788D9C"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Operations Team Appointment:</w:t>
      </w:r>
      <w:r w:rsidRPr="00FB2CC2">
        <w:rPr>
          <w:sz w:val="28"/>
          <w:szCs w:val="28"/>
        </w:rPr>
        <w:br/>
        <w:t>Core O&amp;M management team appointed with Altice support</w:t>
      </w:r>
    </w:p>
    <w:p w14:paraId="36DD4FD9"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Commissioning Protocols:</w:t>
      </w:r>
      <w:r w:rsidRPr="00FB2CC2">
        <w:rPr>
          <w:sz w:val="28"/>
          <w:szCs w:val="28"/>
        </w:rPr>
        <w:br/>
        <w:t>FAT/SAT commissioning protocols agreed and included in build contract</w:t>
      </w:r>
    </w:p>
    <w:p w14:paraId="634CF7D2"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Disaster Recovery Plan:</w:t>
      </w:r>
      <w:r w:rsidRPr="00FB2CC2">
        <w:rPr>
          <w:sz w:val="28"/>
          <w:szCs w:val="28"/>
        </w:rPr>
        <w:br/>
        <w:t>Full DR/BCP plan filed with anchor tenant and lenders</w:t>
      </w:r>
    </w:p>
    <w:p w14:paraId="1ACC11C7"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O&amp;M Transition Plan (First-Time Operator):</w:t>
      </w:r>
      <w:r w:rsidRPr="00FB2CC2">
        <w:rPr>
          <w:sz w:val="28"/>
          <w:szCs w:val="28"/>
        </w:rPr>
        <w:br/>
        <w:t>CBRE contracted for first 36 months of operational management transition</w:t>
      </w:r>
    </w:p>
    <w:p w14:paraId="21D2B4A5" w14:textId="77777777" w:rsidR="003E1B6B" w:rsidRPr="00FB2CC2" w:rsidRDefault="00DF03FD" w:rsidP="003E1B6B">
      <w:pPr>
        <w:pStyle w:val="NormalWeb"/>
        <w:rPr>
          <w:sz w:val="28"/>
          <w:szCs w:val="28"/>
        </w:rPr>
      </w:pPr>
      <w:r>
        <w:rPr>
          <w:sz w:val="28"/>
          <w:szCs w:val="28"/>
        </w:rPr>
        <w:lastRenderedPageBreak/>
        <w:pict w14:anchorId="51AF1D80">
          <v:rect id="_x0000_i1044" style="width:0;height:1.5pt" o:hralign="center" o:hrstd="t" o:hr="t" fillcolor="#a0a0a0" stroked="f"/>
        </w:pict>
      </w:r>
    </w:p>
    <w:p w14:paraId="2B68DE02" w14:textId="77777777" w:rsidR="003E1B6B" w:rsidRPr="00FB2CC2" w:rsidRDefault="003E1B6B" w:rsidP="003E1B6B">
      <w:pPr>
        <w:pStyle w:val="NormalWeb"/>
        <w:rPr>
          <w:b/>
          <w:bCs/>
          <w:sz w:val="28"/>
          <w:szCs w:val="28"/>
        </w:rPr>
      </w:pPr>
      <w:r w:rsidRPr="00FB2CC2">
        <w:rPr>
          <w:b/>
          <w:bCs/>
          <w:sz w:val="28"/>
          <w:szCs w:val="28"/>
        </w:rPr>
        <w:t>2.7 Reporting &amp; Institutional Controls</w:t>
      </w:r>
    </w:p>
    <w:p w14:paraId="7119B1D0"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(Placeholder for institutional reporting protocols — to be finalised with investors at mandate stage)</w:t>
      </w:r>
    </w:p>
    <w:p w14:paraId="01C77685" w14:textId="77777777" w:rsidR="003E1B6B" w:rsidRPr="00FB2CC2" w:rsidRDefault="00DF03FD" w:rsidP="003E1B6B">
      <w:pPr>
        <w:pStyle w:val="NormalWeb"/>
        <w:rPr>
          <w:sz w:val="28"/>
          <w:szCs w:val="28"/>
        </w:rPr>
      </w:pPr>
      <w:r>
        <w:rPr>
          <w:sz w:val="28"/>
          <w:szCs w:val="28"/>
        </w:rPr>
        <w:pict w14:anchorId="460B8C65">
          <v:rect id="_x0000_i1045" style="width:0;height:1.5pt" o:hralign="center" o:hrstd="t" o:hr="t" fillcolor="#a0a0a0" stroked="f"/>
        </w:pict>
      </w:r>
    </w:p>
    <w:p w14:paraId="5C1A8CD4" w14:textId="77777777" w:rsidR="003E1B6B" w:rsidRPr="00FB2CC2" w:rsidRDefault="003E1B6B" w:rsidP="003E1B6B">
      <w:pPr>
        <w:pStyle w:val="NormalWeb"/>
        <w:rPr>
          <w:b/>
          <w:bCs/>
          <w:sz w:val="28"/>
          <w:szCs w:val="28"/>
        </w:rPr>
      </w:pPr>
      <w:r w:rsidRPr="00FB2CC2">
        <w:rPr>
          <w:b/>
          <w:bCs/>
          <w:sz w:val="28"/>
          <w:szCs w:val="28"/>
        </w:rPr>
        <w:t>2.8 Wider Project Sponsors Development Pipeline</w:t>
      </w:r>
    </w:p>
    <w:p w14:paraId="019989EC" w14:textId="38F85863"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 xml:space="preserve">Full </w:t>
      </w:r>
      <w:r w:rsidR="00EF0A8D" w:rsidRPr="00FB2CC2">
        <w:rPr>
          <w:b/>
          <w:bCs/>
          <w:sz w:val="28"/>
          <w:szCs w:val="28"/>
        </w:rPr>
        <w:t>DARK DATA COMPANY LTD</w:t>
      </w:r>
      <w:r w:rsidRPr="00FB2CC2">
        <w:rPr>
          <w:b/>
          <w:bCs/>
          <w:sz w:val="28"/>
          <w:szCs w:val="28"/>
        </w:rPr>
        <w:t xml:space="preserve"> Pipeline Disclosure:</w:t>
      </w:r>
      <w:r w:rsidRPr="00FB2CC2">
        <w:rPr>
          <w:sz w:val="28"/>
          <w:szCs w:val="28"/>
        </w:rPr>
        <w:br/>
        <w:t xml:space="preserve">3 additional Portuguese and Spanish campuses secured for next </w:t>
      </w:r>
      <w:r w:rsidR="001F72A1">
        <w:rPr>
          <w:sz w:val="28"/>
          <w:szCs w:val="28"/>
        </w:rPr>
        <w:t>3</w:t>
      </w:r>
      <w:r w:rsidRPr="00FB2CC2">
        <w:rPr>
          <w:sz w:val="28"/>
          <w:szCs w:val="28"/>
        </w:rPr>
        <w:t>00MW pipeline</w:t>
      </w:r>
    </w:p>
    <w:p w14:paraId="7A4CD23C"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Expansion Scalability Metrics:</w:t>
      </w:r>
      <w:r w:rsidRPr="00FB2CC2">
        <w:rPr>
          <w:sz w:val="28"/>
          <w:szCs w:val="28"/>
        </w:rPr>
        <w:br/>
        <w:t>Forecast full platform to scale &gt;700MW across 5 years</w:t>
      </w:r>
    </w:p>
    <w:p w14:paraId="702A4E24" w14:textId="322674D8"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JV Partner Rights:</w:t>
      </w:r>
      <w:r w:rsidRPr="00FB2CC2">
        <w:rPr>
          <w:sz w:val="28"/>
          <w:szCs w:val="28"/>
        </w:rPr>
        <w:br/>
        <w:t xml:space="preserve">No third-party JV rights exist — fully controlled by </w:t>
      </w:r>
      <w:r w:rsidR="00FB2CC2">
        <w:rPr>
          <w:sz w:val="28"/>
          <w:szCs w:val="28"/>
        </w:rPr>
        <w:t>Dark</w:t>
      </w:r>
    </w:p>
    <w:p w14:paraId="2204BAAF"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Developer Exclusivity:</w:t>
      </w:r>
      <w:r w:rsidRPr="00FB2CC2">
        <w:rPr>
          <w:sz w:val="28"/>
          <w:szCs w:val="28"/>
        </w:rPr>
        <w:br/>
        <w:t>Full exclusivity confirmed — sole sponsor rights secured</w:t>
      </w:r>
    </w:p>
    <w:p w14:paraId="2A7A8BF0"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Master Trust Eligibility Review:</w:t>
      </w:r>
      <w:r w:rsidRPr="00FB2CC2">
        <w:rPr>
          <w:sz w:val="28"/>
          <w:szCs w:val="28"/>
        </w:rPr>
        <w:br/>
      </w:r>
      <w:r w:rsidRPr="00FB2CC2">
        <w:rPr>
          <w:rFonts w:ascii="Segoe UI Emoji" w:hAnsi="Segoe UI Emoji" w:cs="Segoe UI Emoji"/>
          <w:sz w:val="28"/>
          <w:szCs w:val="28"/>
        </w:rPr>
        <w:t>✅</w:t>
      </w:r>
      <w:r w:rsidRPr="00FB2CC2">
        <w:rPr>
          <w:sz w:val="28"/>
          <w:szCs w:val="28"/>
        </w:rPr>
        <w:t xml:space="preserve"> YES — Full platform eligible for Master Trust securitisation. RED AMC &amp; TBC retain structuring control.</w:t>
      </w:r>
    </w:p>
    <w:p w14:paraId="3A575127" w14:textId="77777777" w:rsidR="003E1B6B" w:rsidRPr="00FB2CC2" w:rsidRDefault="00DF03FD" w:rsidP="003E1B6B">
      <w:pPr>
        <w:pStyle w:val="NormalWeb"/>
        <w:rPr>
          <w:sz w:val="28"/>
          <w:szCs w:val="28"/>
        </w:rPr>
      </w:pPr>
      <w:r>
        <w:rPr>
          <w:sz w:val="28"/>
          <w:szCs w:val="28"/>
        </w:rPr>
        <w:pict w14:anchorId="4415D0D0">
          <v:rect id="_x0000_i1046" style="width:0;height:1.5pt" o:hralign="center" o:hrstd="t" o:hr="t" fillcolor="#a0a0a0" stroked="f"/>
        </w:pict>
      </w:r>
    </w:p>
    <w:p w14:paraId="42D10C46" w14:textId="77777777" w:rsidR="003E1B6B" w:rsidRPr="00FB2CC2" w:rsidRDefault="003E1B6B" w:rsidP="003E1B6B">
      <w:pPr>
        <w:pStyle w:val="NormalWeb"/>
        <w:rPr>
          <w:b/>
          <w:bCs/>
          <w:sz w:val="28"/>
          <w:szCs w:val="28"/>
        </w:rPr>
      </w:pPr>
      <w:r w:rsidRPr="00FB2CC2">
        <w:rPr>
          <w:b/>
          <w:bCs/>
          <w:sz w:val="28"/>
          <w:szCs w:val="28"/>
        </w:rPr>
        <w:t>SECTION 3 — Institutional Risk Controls</w:t>
      </w:r>
    </w:p>
    <w:p w14:paraId="68D0C1BA" w14:textId="77777777" w:rsidR="003E1B6B" w:rsidRPr="00FB2CC2" w:rsidRDefault="00DF03FD" w:rsidP="003E1B6B">
      <w:pPr>
        <w:pStyle w:val="NormalWeb"/>
        <w:rPr>
          <w:sz w:val="28"/>
          <w:szCs w:val="28"/>
        </w:rPr>
      </w:pPr>
      <w:r>
        <w:rPr>
          <w:sz w:val="28"/>
          <w:szCs w:val="28"/>
        </w:rPr>
        <w:pict w14:anchorId="13F89867">
          <v:rect id="_x0000_i1047" style="width:0;height:1.5pt" o:hralign="center" o:hrstd="t" o:hr="t" fillcolor="#a0a0a0" stroked="f"/>
        </w:pict>
      </w:r>
    </w:p>
    <w:p w14:paraId="2BA4F6C8" w14:textId="77777777" w:rsidR="003E1B6B" w:rsidRPr="00FB2CC2" w:rsidRDefault="003E1B6B" w:rsidP="003E1B6B">
      <w:pPr>
        <w:pStyle w:val="NormalWeb"/>
        <w:rPr>
          <w:b/>
          <w:bCs/>
          <w:sz w:val="28"/>
          <w:szCs w:val="28"/>
        </w:rPr>
      </w:pPr>
      <w:r w:rsidRPr="00FB2CC2">
        <w:rPr>
          <w:b/>
          <w:bCs/>
          <w:sz w:val="28"/>
          <w:szCs w:val="28"/>
        </w:rPr>
        <w:t>3.1 Land Title Defence Layer</w:t>
      </w:r>
    </w:p>
    <w:p w14:paraId="729C13F2"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Title Insurance Proposal:</w:t>
      </w:r>
      <w:r w:rsidRPr="00FB2CC2">
        <w:rPr>
          <w:sz w:val="28"/>
          <w:szCs w:val="28"/>
        </w:rPr>
        <w:br/>
        <w:t>Title insurance placed via Stewart Title Europe</w:t>
      </w:r>
    </w:p>
    <w:p w14:paraId="68B61B14"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lastRenderedPageBreak/>
        <w:t>☑</w:t>
      </w:r>
      <w:r w:rsidRPr="00FB2CC2">
        <w:rPr>
          <w:sz w:val="28"/>
          <w:szCs w:val="28"/>
        </w:rPr>
        <w:t xml:space="preserve"> </w:t>
      </w:r>
      <w:r w:rsidRPr="00FB2CC2">
        <w:rPr>
          <w:b/>
          <w:bCs/>
          <w:sz w:val="28"/>
          <w:szCs w:val="28"/>
        </w:rPr>
        <w:t>Surveyor's Title Opinion:</w:t>
      </w:r>
      <w:r w:rsidRPr="00FB2CC2">
        <w:rPr>
          <w:sz w:val="28"/>
          <w:szCs w:val="28"/>
        </w:rPr>
        <w:br/>
        <w:t>Clean title opinion issued (CMS Lisbon)</w:t>
      </w:r>
    </w:p>
    <w:p w14:paraId="2D39CB53"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Subsurface Rights Verification:</w:t>
      </w:r>
      <w:r w:rsidRPr="00FB2CC2">
        <w:rPr>
          <w:sz w:val="28"/>
          <w:szCs w:val="28"/>
        </w:rPr>
        <w:br/>
        <w:t>No adverse subsurface rights identified</w:t>
      </w:r>
    </w:p>
    <w:p w14:paraId="1D39E8B3" w14:textId="77777777" w:rsidR="003E1B6B" w:rsidRPr="00FB2CC2" w:rsidRDefault="00DF03FD" w:rsidP="003E1B6B">
      <w:pPr>
        <w:pStyle w:val="NormalWeb"/>
        <w:rPr>
          <w:sz w:val="28"/>
          <w:szCs w:val="28"/>
        </w:rPr>
      </w:pPr>
      <w:r>
        <w:rPr>
          <w:sz w:val="28"/>
          <w:szCs w:val="28"/>
        </w:rPr>
        <w:pict w14:anchorId="42FB5CEB">
          <v:rect id="_x0000_i1048" style="width:0;height:1.5pt" o:hralign="center" o:hrstd="t" o:hr="t" fillcolor="#a0a0a0" stroked="f"/>
        </w:pict>
      </w:r>
    </w:p>
    <w:p w14:paraId="51A0E1AF" w14:textId="77777777" w:rsidR="003E1B6B" w:rsidRPr="00FB2CC2" w:rsidRDefault="003E1B6B" w:rsidP="003E1B6B">
      <w:pPr>
        <w:pStyle w:val="NormalWeb"/>
        <w:rPr>
          <w:b/>
          <w:bCs/>
          <w:sz w:val="28"/>
          <w:szCs w:val="28"/>
        </w:rPr>
      </w:pPr>
      <w:r w:rsidRPr="00FB2CC2">
        <w:rPr>
          <w:b/>
          <w:bCs/>
          <w:sz w:val="28"/>
          <w:szCs w:val="28"/>
        </w:rPr>
        <w:t>3.2 Planning Legal Stability</w:t>
      </w:r>
    </w:p>
    <w:p w14:paraId="23FEDB6E" w14:textId="016F85D4"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Statutory Challenge Period Expiry:</w:t>
      </w:r>
      <w:r w:rsidRPr="00FB2CC2">
        <w:rPr>
          <w:sz w:val="28"/>
          <w:szCs w:val="28"/>
        </w:rPr>
        <w:br/>
      </w:r>
      <w:r w:rsidR="001F72A1">
        <w:rPr>
          <w:sz w:val="28"/>
          <w:szCs w:val="28"/>
        </w:rPr>
        <w:t>Expired</w:t>
      </w:r>
    </w:p>
    <w:p w14:paraId="0334D12C"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Neighbour Consultation Evidence:</w:t>
      </w:r>
      <w:r w:rsidRPr="00FB2CC2">
        <w:rPr>
          <w:sz w:val="28"/>
          <w:szCs w:val="28"/>
        </w:rPr>
        <w:br/>
        <w:t>Public engagement records filed</w:t>
      </w:r>
    </w:p>
    <w:p w14:paraId="1C494008"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Judicial Review Risk Assessment:</w:t>
      </w:r>
      <w:r w:rsidRPr="00FB2CC2">
        <w:rPr>
          <w:sz w:val="28"/>
          <w:szCs w:val="28"/>
        </w:rPr>
        <w:br/>
        <w:t>No active or pending judicial challenges</w:t>
      </w:r>
    </w:p>
    <w:p w14:paraId="412A2B7B" w14:textId="77777777" w:rsidR="003E1B6B" w:rsidRPr="00FB2CC2" w:rsidRDefault="00DF03FD" w:rsidP="003E1B6B">
      <w:pPr>
        <w:pStyle w:val="NormalWeb"/>
        <w:rPr>
          <w:sz w:val="28"/>
          <w:szCs w:val="28"/>
        </w:rPr>
      </w:pPr>
      <w:r>
        <w:rPr>
          <w:sz w:val="28"/>
          <w:szCs w:val="28"/>
        </w:rPr>
        <w:pict w14:anchorId="4028715F">
          <v:rect id="_x0000_i1049" style="width:0;height:1.5pt" o:hralign="center" o:hrstd="t" o:hr="t" fillcolor="#a0a0a0" stroked="f"/>
        </w:pict>
      </w:r>
    </w:p>
    <w:p w14:paraId="09D2DD7C" w14:textId="77777777" w:rsidR="003E1B6B" w:rsidRPr="00FB2CC2" w:rsidRDefault="003E1B6B" w:rsidP="003E1B6B">
      <w:pPr>
        <w:pStyle w:val="NormalWeb"/>
        <w:rPr>
          <w:b/>
          <w:bCs/>
          <w:sz w:val="28"/>
          <w:szCs w:val="28"/>
        </w:rPr>
      </w:pPr>
      <w:r w:rsidRPr="00FB2CC2">
        <w:rPr>
          <w:b/>
          <w:bCs/>
          <w:sz w:val="28"/>
          <w:szCs w:val="28"/>
        </w:rPr>
        <w:t>3.3 ESG Institutional Compliance</w:t>
      </w:r>
    </w:p>
    <w:p w14:paraId="7987A2AE"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Green Loan Compliance Audit:</w:t>
      </w:r>
      <w:r w:rsidRPr="00FB2CC2">
        <w:rPr>
          <w:sz w:val="28"/>
          <w:szCs w:val="28"/>
        </w:rPr>
        <w:br/>
        <w:t>Preliminary LMA Green Loan compliance confirmed</w:t>
      </w:r>
    </w:p>
    <w:p w14:paraId="6378D5BC"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EU Taxonomy Compliance Plan:</w:t>
      </w:r>
      <w:r w:rsidRPr="00FB2CC2">
        <w:rPr>
          <w:sz w:val="28"/>
          <w:szCs w:val="28"/>
        </w:rPr>
        <w:br/>
        <w:t>In progress; partial alignment confirmed to EU Taxonomy technical screening criteria</w:t>
      </w:r>
    </w:p>
    <w:p w14:paraId="2DAC761F" w14:textId="41FD994C"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Scope 3 Emissions Model:</w:t>
      </w:r>
      <w:r w:rsidRPr="00FB2CC2">
        <w:rPr>
          <w:sz w:val="28"/>
          <w:szCs w:val="28"/>
        </w:rPr>
        <w:br/>
        <w:t>Lifecycle model prepared</w:t>
      </w:r>
    </w:p>
    <w:p w14:paraId="4C3C6185"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External ESG Rating Commissioned:</w:t>
      </w:r>
      <w:r w:rsidRPr="00FB2CC2">
        <w:rPr>
          <w:sz w:val="28"/>
          <w:szCs w:val="28"/>
        </w:rPr>
        <w:br/>
        <w:t>GRESB scoring commissioned (pending issuance)</w:t>
      </w:r>
    </w:p>
    <w:p w14:paraId="4376187D"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SFDR Categorisation:</w:t>
      </w:r>
      <w:r w:rsidRPr="00FB2CC2">
        <w:rPr>
          <w:sz w:val="28"/>
          <w:szCs w:val="28"/>
        </w:rPr>
        <w:br/>
        <w:t>Target: Article 8 (light green)</w:t>
      </w:r>
    </w:p>
    <w:p w14:paraId="24963FD7"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lastRenderedPageBreak/>
        <w:t>☑</w:t>
      </w:r>
      <w:r w:rsidRPr="00FB2CC2">
        <w:rPr>
          <w:sz w:val="28"/>
          <w:szCs w:val="28"/>
        </w:rPr>
        <w:t xml:space="preserve"> </w:t>
      </w:r>
      <w:r w:rsidRPr="00FB2CC2">
        <w:rPr>
          <w:b/>
          <w:bCs/>
          <w:sz w:val="28"/>
          <w:szCs w:val="28"/>
        </w:rPr>
        <w:t>External ESG Audit Firm Appointed:</w:t>
      </w:r>
      <w:r w:rsidRPr="00FB2CC2">
        <w:rPr>
          <w:sz w:val="28"/>
          <w:szCs w:val="28"/>
        </w:rPr>
        <w:br/>
        <w:t>EY Sustainability appointed as ESG auditor</w:t>
      </w:r>
    </w:p>
    <w:p w14:paraId="331BD913" w14:textId="77777777" w:rsidR="003E1B6B" w:rsidRPr="00FB2CC2" w:rsidRDefault="00DF03FD" w:rsidP="003E1B6B">
      <w:pPr>
        <w:pStyle w:val="NormalWeb"/>
        <w:rPr>
          <w:sz w:val="28"/>
          <w:szCs w:val="28"/>
        </w:rPr>
      </w:pPr>
      <w:r>
        <w:rPr>
          <w:sz w:val="28"/>
          <w:szCs w:val="28"/>
        </w:rPr>
        <w:pict w14:anchorId="6A9226B8">
          <v:rect id="_x0000_i1050" style="width:0;height:1.5pt" o:hralign="center" o:hrstd="t" o:hr="t" fillcolor="#a0a0a0" stroked="f"/>
        </w:pict>
      </w:r>
    </w:p>
    <w:p w14:paraId="4E6369B2" w14:textId="77777777" w:rsidR="003E1B6B" w:rsidRPr="00FB2CC2" w:rsidRDefault="003E1B6B" w:rsidP="003E1B6B">
      <w:pPr>
        <w:pStyle w:val="NormalWeb"/>
        <w:rPr>
          <w:b/>
          <w:bCs/>
          <w:sz w:val="28"/>
          <w:szCs w:val="28"/>
        </w:rPr>
      </w:pPr>
      <w:r w:rsidRPr="00FB2CC2">
        <w:rPr>
          <w:b/>
          <w:bCs/>
          <w:sz w:val="28"/>
          <w:szCs w:val="28"/>
        </w:rPr>
        <w:t>3.4 Procurement Risk</w:t>
      </w:r>
    </w:p>
    <w:p w14:paraId="56DAA98E" w14:textId="5EAB9B6B"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Long Lead Procurement Schedule:</w:t>
      </w:r>
      <w:r w:rsidRPr="00FB2CC2">
        <w:rPr>
          <w:sz w:val="28"/>
          <w:szCs w:val="28"/>
        </w:rPr>
        <w:br/>
        <w:t xml:space="preserve">Full LLTI schedule submitted — all critical equipment </w:t>
      </w:r>
      <w:r w:rsidR="001F72A1">
        <w:rPr>
          <w:sz w:val="28"/>
          <w:szCs w:val="28"/>
        </w:rPr>
        <w:t>ready for procurement</w:t>
      </w:r>
    </w:p>
    <w:p w14:paraId="1DA788E6"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Foreign Exchange Exposure Analysis:</w:t>
      </w:r>
      <w:r w:rsidRPr="00FB2CC2">
        <w:rPr>
          <w:sz w:val="28"/>
          <w:szCs w:val="28"/>
        </w:rPr>
        <w:br/>
        <w:t>Minor USD exposure on switchgear (~€12M FX hedge applied)</w:t>
      </w:r>
    </w:p>
    <w:p w14:paraId="3F3BB101"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Commodity Hedging Policy:</w:t>
      </w:r>
      <w:r w:rsidRPr="00FB2CC2">
        <w:rPr>
          <w:sz w:val="28"/>
          <w:szCs w:val="28"/>
        </w:rPr>
        <w:br/>
        <w:t>Steel hedged at €1,100/ton spot</w:t>
      </w:r>
    </w:p>
    <w:p w14:paraId="700237D8" w14:textId="504B8F1C"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Subcontractor Financial Diligence:</w:t>
      </w:r>
      <w:r w:rsidRPr="00FB2CC2">
        <w:rPr>
          <w:sz w:val="28"/>
          <w:szCs w:val="28"/>
        </w:rPr>
        <w:br/>
      </w:r>
      <w:r w:rsidR="001F72A1">
        <w:rPr>
          <w:sz w:val="28"/>
          <w:szCs w:val="28"/>
        </w:rPr>
        <w:t>All</w:t>
      </w:r>
      <w:r w:rsidRPr="00FB2CC2">
        <w:rPr>
          <w:sz w:val="28"/>
          <w:szCs w:val="28"/>
        </w:rPr>
        <w:t xml:space="preserve"> subs </w:t>
      </w:r>
      <w:r w:rsidR="00BB40A6">
        <w:rPr>
          <w:sz w:val="28"/>
          <w:szCs w:val="28"/>
        </w:rPr>
        <w:t xml:space="preserve">over </w:t>
      </w:r>
      <w:r w:rsidR="00BB40A6" w:rsidRPr="00FB2CC2">
        <w:rPr>
          <w:sz w:val="28"/>
          <w:szCs w:val="28"/>
        </w:rPr>
        <w:t>€</w:t>
      </w:r>
      <w:r w:rsidR="00BB40A6">
        <w:rPr>
          <w:sz w:val="28"/>
          <w:szCs w:val="28"/>
        </w:rPr>
        <w:t>5m</w:t>
      </w:r>
      <w:r w:rsidR="00BB40A6" w:rsidRPr="00FB2CC2">
        <w:rPr>
          <w:sz w:val="28"/>
          <w:szCs w:val="28"/>
        </w:rPr>
        <w:t xml:space="preserve"> </w:t>
      </w:r>
      <w:r w:rsidRPr="00FB2CC2">
        <w:rPr>
          <w:sz w:val="28"/>
          <w:szCs w:val="28"/>
        </w:rPr>
        <w:t>audited for financial resilience</w:t>
      </w:r>
      <w:r w:rsidR="001F72A1">
        <w:rPr>
          <w:sz w:val="28"/>
          <w:szCs w:val="28"/>
        </w:rPr>
        <w:t xml:space="preserve"> </w:t>
      </w:r>
    </w:p>
    <w:p w14:paraId="20255A6C"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Force Majeure Supply Chain Clauses:</w:t>
      </w:r>
      <w:r w:rsidRPr="00FB2CC2">
        <w:rPr>
          <w:sz w:val="28"/>
          <w:szCs w:val="28"/>
        </w:rPr>
        <w:br/>
        <w:t>FM clauses standard across all contracts</w:t>
      </w:r>
    </w:p>
    <w:p w14:paraId="540AABF0"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ESG Supply Chain Diligence File:</w:t>
      </w:r>
      <w:r w:rsidRPr="00FB2CC2">
        <w:rPr>
          <w:sz w:val="28"/>
          <w:szCs w:val="28"/>
        </w:rPr>
        <w:br/>
        <w:t>Supplier ESG policies filed for Tier 1 vendors</w:t>
      </w:r>
    </w:p>
    <w:p w14:paraId="3872F3B3" w14:textId="77777777" w:rsidR="003E1B6B" w:rsidRPr="00FB2CC2" w:rsidRDefault="00DF03FD" w:rsidP="003E1B6B">
      <w:pPr>
        <w:pStyle w:val="NormalWeb"/>
        <w:rPr>
          <w:sz w:val="28"/>
          <w:szCs w:val="28"/>
        </w:rPr>
      </w:pPr>
      <w:r>
        <w:rPr>
          <w:sz w:val="28"/>
          <w:szCs w:val="28"/>
        </w:rPr>
        <w:pict w14:anchorId="03E45F8D">
          <v:rect id="_x0000_i1051" style="width:0;height:1.5pt" o:hralign="center" o:hrstd="t" o:hr="t" fillcolor="#a0a0a0" stroked="f"/>
        </w:pict>
      </w:r>
    </w:p>
    <w:p w14:paraId="2CFBE7E1" w14:textId="77777777" w:rsidR="003E1B6B" w:rsidRPr="00FB2CC2" w:rsidRDefault="003E1B6B" w:rsidP="003E1B6B">
      <w:pPr>
        <w:pStyle w:val="NormalWeb"/>
        <w:rPr>
          <w:b/>
          <w:bCs/>
          <w:sz w:val="28"/>
          <w:szCs w:val="28"/>
        </w:rPr>
      </w:pPr>
      <w:r w:rsidRPr="00FB2CC2">
        <w:rPr>
          <w:b/>
          <w:bCs/>
          <w:sz w:val="28"/>
          <w:szCs w:val="28"/>
        </w:rPr>
        <w:t>3.5 Construction Programme Execution Control</w:t>
      </w:r>
    </w:p>
    <w:p w14:paraId="56FB7203"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Dispute Escalation Pathway:</w:t>
      </w:r>
      <w:r w:rsidRPr="00FB2CC2">
        <w:rPr>
          <w:sz w:val="28"/>
          <w:szCs w:val="28"/>
        </w:rPr>
        <w:br/>
        <w:t>Formal mediation-arbitration clause embedded (ICC arbitration, Paris)</w:t>
      </w:r>
    </w:p>
    <w:p w14:paraId="0751BDAD" w14:textId="1DB2C2D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Labour Resourcing Plan:</w:t>
      </w:r>
      <w:r w:rsidRPr="00FB2CC2">
        <w:rPr>
          <w:sz w:val="28"/>
          <w:szCs w:val="28"/>
        </w:rPr>
        <w:br/>
        <w:t xml:space="preserve">Full site workforce plan filed; </w:t>
      </w:r>
      <w:r w:rsidR="00BB40A6">
        <w:rPr>
          <w:sz w:val="28"/>
          <w:szCs w:val="28"/>
        </w:rPr>
        <w:t>800</w:t>
      </w:r>
      <w:r w:rsidRPr="00FB2CC2">
        <w:rPr>
          <w:sz w:val="28"/>
          <w:szCs w:val="28"/>
        </w:rPr>
        <w:t xml:space="preserve"> peak site labour </w:t>
      </w:r>
      <w:proofErr w:type="gramStart"/>
      <w:r w:rsidRPr="00FB2CC2">
        <w:rPr>
          <w:sz w:val="28"/>
          <w:szCs w:val="28"/>
        </w:rPr>
        <w:t>forecast</w:t>
      </w:r>
      <w:proofErr w:type="gramEnd"/>
    </w:p>
    <w:p w14:paraId="65E64E7E"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Subcontractor Fallback Plans:</w:t>
      </w:r>
      <w:r w:rsidRPr="00FB2CC2">
        <w:rPr>
          <w:sz w:val="28"/>
          <w:szCs w:val="28"/>
        </w:rPr>
        <w:br/>
        <w:t>Secondary vendors pre-approved for critical trades</w:t>
      </w:r>
    </w:p>
    <w:p w14:paraId="4F5E1DE6" w14:textId="77777777" w:rsidR="003E1B6B" w:rsidRPr="00FB2CC2" w:rsidRDefault="00DF03FD" w:rsidP="003E1B6B">
      <w:pPr>
        <w:pStyle w:val="NormalWeb"/>
        <w:rPr>
          <w:sz w:val="28"/>
          <w:szCs w:val="28"/>
        </w:rPr>
      </w:pPr>
      <w:r>
        <w:rPr>
          <w:sz w:val="28"/>
          <w:szCs w:val="28"/>
        </w:rPr>
        <w:pict w14:anchorId="6B325D9E">
          <v:rect id="_x0000_i1052" style="width:0;height:1.5pt" o:hralign="center" o:hrstd="t" o:hr="t" fillcolor="#a0a0a0" stroked="f"/>
        </w:pict>
      </w:r>
    </w:p>
    <w:p w14:paraId="68ADF07F" w14:textId="77777777" w:rsidR="003E1B6B" w:rsidRPr="00FB2CC2" w:rsidRDefault="003E1B6B" w:rsidP="003E1B6B">
      <w:pPr>
        <w:pStyle w:val="NormalWeb"/>
        <w:rPr>
          <w:b/>
          <w:bCs/>
          <w:sz w:val="28"/>
          <w:szCs w:val="28"/>
        </w:rPr>
      </w:pPr>
      <w:r w:rsidRPr="00FB2CC2">
        <w:rPr>
          <w:b/>
          <w:bCs/>
          <w:sz w:val="28"/>
          <w:szCs w:val="28"/>
        </w:rPr>
        <w:lastRenderedPageBreak/>
        <w:t>3.6 Technical Completion Assurance</w:t>
      </w:r>
    </w:p>
    <w:p w14:paraId="73F02036"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Soil Remediation Strategy:</w:t>
      </w:r>
      <w:r w:rsidRPr="00FB2CC2">
        <w:rPr>
          <w:sz w:val="28"/>
          <w:szCs w:val="28"/>
        </w:rPr>
        <w:br/>
        <w:t>Not required (clean site)</w:t>
      </w:r>
    </w:p>
    <w:p w14:paraId="5E109CEB"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Drainage &amp; Flood Resilience Certification:</w:t>
      </w:r>
      <w:r w:rsidRPr="00FB2CC2">
        <w:rPr>
          <w:sz w:val="28"/>
          <w:szCs w:val="28"/>
        </w:rPr>
        <w:br/>
        <w:t>Certified to 1:200-year flood event standard</w:t>
      </w:r>
    </w:p>
    <w:p w14:paraId="3E60D364"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Groundwater Movement Modelling:</w:t>
      </w:r>
      <w:r w:rsidRPr="00FB2CC2">
        <w:rPr>
          <w:sz w:val="28"/>
          <w:szCs w:val="28"/>
        </w:rPr>
        <w:br/>
        <w:t>Geotechnical models certified</w:t>
      </w:r>
    </w:p>
    <w:p w14:paraId="239A6C03"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Piling Test Reports:</w:t>
      </w:r>
      <w:r w:rsidRPr="00FB2CC2">
        <w:rPr>
          <w:sz w:val="28"/>
          <w:szCs w:val="28"/>
        </w:rPr>
        <w:br/>
        <w:t>Piling tests completed and certified</w:t>
      </w:r>
    </w:p>
    <w:p w14:paraId="762E69E8"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Technology Obsolescence Plan:</w:t>
      </w:r>
      <w:r w:rsidRPr="00FB2CC2">
        <w:rPr>
          <w:sz w:val="28"/>
          <w:szCs w:val="28"/>
        </w:rPr>
        <w:br/>
        <w:t>Futureproofing review complete — 10-year obsolescence roadmap filed</w:t>
      </w:r>
    </w:p>
    <w:p w14:paraId="6DA1D9AC" w14:textId="77777777" w:rsidR="003E1B6B" w:rsidRPr="00FB2CC2" w:rsidRDefault="00DF03FD" w:rsidP="003E1B6B">
      <w:pPr>
        <w:pStyle w:val="NormalWeb"/>
        <w:rPr>
          <w:sz w:val="28"/>
          <w:szCs w:val="28"/>
        </w:rPr>
      </w:pPr>
      <w:r>
        <w:rPr>
          <w:sz w:val="28"/>
          <w:szCs w:val="28"/>
        </w:rPr>
        <w:pict w14:anchorId="063E557C">
          <v:rect id="_x0000_i1053" style="width:0;height:1.5pt" o:hralign="center" o:hrstd="t" o:hr="t" fillcolor="#a0a0a0" stroked="f"/>
        </w:pict>
      </w:r>
    </w:p>
    <w:p w14:paraId="75288701" w14:textId="77777777" w:rsidR="003E1B6B" w:rsidRPr="00FB2CC2" w:rsidRDefault="003E1B6B" w:rsidP="003E1B6B">
      <w:pPr>
        <w:pStyle w:val="NormalWeb"/>
        <w:rPr>
          <w:b/>
          <w:bCs/>
          <w:sz w:val="28"/>
          <w:szCs w:val="28"/>
        </w:rPr>
      </w:pPr>
      <w:r w:rsidRPr="00FB2CC2">
        <w:rPr>
          <w:b/>
          <w:bCs/>
          <w:sz w:val="28"/>
          <w:szCs w:val="28"/>
        </w:rPr>
        <w:t>3.7 Lease Income Stability</w:t>
      </w:r>
    </w:p>
    <w:p w14:paraId="2ED02461"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Change of Control Provisions:</w:t>
      </w:r>
      <w:r w:rsidRPr="00FB2CC2">
        <w:rPr>
          <w:sz w:val="28"/>
          <w:szCs w:val="28"/>
        </w:rPr>
        <w:br/>
        <w:t>Landlord consent required for any tenant control change</w:t>
      </w:r>
    </w:p>
    <w:p w14:paraId="02107030"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Tenant Bankruptcy Protections:</w:t>
      </w:r>
      <w:r w:rsidRPr="00FB2CC2">
        <w:rPr>
          <w:sz w:val="28"/>
          <w:szCs w:val="28"/>
        </w:rPr>
        <w:br/>
        <w:t>(</w:t>
      </w:r>
      <w:r w:rsidRPr="00FB2CC2">
        <w:rPr>
          <w:i/>
          <w:iCs/>
          <w:sz w:val="28"/>
          <w:szCs w:val="28"/>
        </w:rPr>
        <w:t>LEFT OPEN PER INSTRUCTION – DSCR liquidity overlays pending</w:t>
      </w:r>
      <w:r w:rsidRPr="00FB2CC2">
        <w:rPr>
          <w:sz w:val="28"/>
          <w:szCs w:val="28"/>
        </w:rPr>
        <w:t>)</w:t>
      </w:r>
    </w:p>
    <w:p w14:paraId="4BAC97D6"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Subletting Control Rights:</w:t>
      </w:r>
      <w:r w:rsidRPr="00FB2CC2">
        <w:rPr>
          <w:sz w:val="28"/>
          <w:szCs w:val="28"/>
        </w:rPr>
        <w:br/>
        <w:t>Full landlord control over sublet activity</w:t>
      </w:r>
    </w:p>
    <w:p w14:paraId="3749C1A4"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Tenant Credit Protection:</w:t>
      </w:r>
      <w:r w:rsidRPr="00FB2CC2">
        <w:rPr>
          <w:sz w:val="28"/>
          <w:szCs w:val="28"/>
        </w:rPr>
        <w:br/>
        <w:t>(</w:t>
      </w:r>
      <w:r w:rsidRPr="00FB2CC2">
        <w:rPr>
          <w:i/>
          <w:iCs/>
          <w:sz w:val="28"/>
          <w:szCs w:val="28"/>
        </w:rPr>
        <w:t>LEFT OPEN PER INSTRUCTION — further overlays in design stage</w:t>
      </w:r>
      <w:r w:rsidRPr="00FB2CC2">
        <w:rPr>
          <w:sz w:val="28"/>
          <w:szCs w:val="28"/>
        </w:rPr>
        <w:t>)</w:t>
      </w:r>
    </w:p>
    <w:p w14:paraId="23967357" w14:textId="77777777" w:rsidR="003E1B6B" w:rsidRPr="00FB2CC2" w:rsidRDefault="00DF03FD" w:rsidP="003E1B6B">
      <w:pPr>
        <w:pStyle w:val="NormalWeb"/>
        <w:rPr>
          <w:sz w:val="28"/>
          <w:szCs w:val="28"/>
        </w:rPr>
      </w:pPr>
      <w:r>
        <w:rPr>
          <w:sz w:val="28"/>
          <w:szCs w:val="28"/>
        </w:rPr>
        <w:pict w14:anchorId="20623CDB">
          <v:rect id="_x0000_i1054" style="width:0;height:1.5pt" o:hralign="center" o:hrstd="t" o:hr="t" fillcolor="#a0a0a0" stroked="f"/>
        </w:pict>
      </w:r>
    </w:p>
    <w:p w14:paraId="5DD3A460" w14:textId="77777777" w:rsidR="003E1B6B" w:rsidRPr="00FB2CC2" w:rsidRDefault="003E1B6B" w:rsidP="003E1B6B">
      <w:pPr>
        <w:pStyle w:val="NormalWeb"/>
        <w:rPr>
          <w:b/>
          <w:bCs/>
          <w:sz w:val="28"/>
          <w:szCs w:val="28"/>
        </w:rPr>
      </w:pPr>
      <w:r w:rsidRPr="00FB2CC2">
        <w:rPr>
          <w:b/>
          <w:bCs/>
          <w:sz w:val="28"/>
          <w:szCs w:val="28"/>
        </w:rPr>
        <w:t>3.8 Insurance Claims Defence Readiness</w:t>
      </w:r>
    </w:p>
    <w:p w14:paraId="1B55D390"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Full Policy Exclusions Disclosure:</w:t>
      </w:r>
      <w:r w:rsidRPr="00FB2CC2">
        <w:rPr>
          <w:sz w:val="28"/>
          <w:szCs w:val="28"/>
        </w:rPr>
        <w:br/>
        <w:t>Policy exclusions fully disclosed and filed</w:t>
      </w:r>
    </w:p>
    <w:p w14:paraId="46A2093D"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lastRenderedPageBreak/>
        <w:t>☑</w:t>
      </w:r>
      <w:r w:rsidRPr="00FB2CC2">
        <w:rPr>
          <w:sz w:val="28"/>
          <w:szCs w:val="28"/>
        </w:rPr>
        <w:t xml:space="preserve"> </w:t>
      </w:r>
      <w:r w:rsidRPr="00FB2CC2">
        <w:rPr>
          <w:b/>
          <w:bCs/>
          <w:sz w:val="28"/>
          <w:szCs w:val="28"/>
        </w:rPr>
        <w:t>Claims Handling Procedures:</w:t>
      </w:r>
      <w:r w:rsidRPr="00FB2CC2">
        <w:rPr>
          <w:sz w:val="28"/>
          <w:szCs w:val="28"/>
        </w:rPr>
        <w:br/>
        <w:t>Defined claims escalation procedures in place with brokers</w:t>
      </w:r>
    </w:p>
    <w:p w14:paraId="51493F67"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Broker Placement Capacity Confirmation:</w:t>
      </w:r>
      <w:r w:rsidRPr="00FB2CC2">
        <w:rPr>
          <w:sz w:val="28"/>
          <w:szCs w:val="28"/>
        </w:rPr>
        <w:br/>
        <w:t>Global broker capacity confirmed by Marsh / Aon syndicates</w:t>
      </w:r>
    </w:p>
    <w:p w14:paraId="02122EE2"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Claims Trigger Alignment Review:</w:t>
      </w:r>
      <w:r w:rsidRPr="00FB2CC2">
        <w:rPr>
          <w:sz w:val="28"/>
          <w:szCs w:val="28"/>
        </w:rPr>
        <w:br/>
        <w:t>Cross-policy triggers harmonized across CAR, DSU, and operational covers</w:t>
      </w:r>
    </w:p>
    <w:p w14:paraId="0E9D4D20" w14:textId="77777777" w:rsidR="003E1B6B" w:rsidRPr="00FB2CC2" w:rsidRDefault="00DF03FD" w:rsidP="003E1B6B">
      <w:pPr>
        <w:pStyle w:val="NormalWeb"/>
        <w:rPr>
          <w:sz w:val="28"/>
          <w:szCs w:val="28"/>
        </w:rPr>
      </w:pPr>
      <w:r>
        <w:rPr>
          <w:sz w:val="28"/>
          <w:szCs w:val="28"/>
        </w:rPr>
        <w:pict w14:anchorId="73C569FC">
          <v:rect id="_x0000_i1055" style="width:0;height:1.5pt" o:hralign="center" o:hrstd="t" o:hr="t" fillcolor="#a0a0a0" stroked="f"/>
        </w:pict>
      </w:r>
    </w:p>
    <w:p w14:paraId="43A480DF" w14:textId="77777777" w:rsidR="003E1B6B" w:rsidRPr="00FB2CC2" w:rsidRDefault="003E1B6B" w:rsidP="003E1B6B">
      <w:pPr>
        <w:pStyle w:val="NormalWeb"/>
        <w:rPr>
          <w:b/>
          <w:bCs/>
          <w:sz w:val="28"/>
          <w:szCs w:val="28"/>
        </w:rPr>
      </w:pPr>
      <w:r w:rsidRPr="00FB2CC2">
        <w:rPr>
          <w:b/>
          <w:bCs/>
          <w:sz w:val="28"/>
          <w:szCs w:val="28"/>
        </w:rPr>
        <w:t>3.9 Multi-Tenant Operational Scalability</w:t>
      </w:r>
    </w:p>
    <w:p w14:paraId="18F0B6FE"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Shared Services Cost Allocation Model:</w:t>
      </w:r>
      <w:r w:rsidRPr="00FB2CC2">
        <w:rPr>
          <w:sz w:val="28"/>
          <w:szCs w:val="28"/>
        </w:rPr>
        <w:br/>
        <w:t>Standard allocation model filed</w:t>
      </w:r>
    </w:p>
    <w:p w14:paraId="65A8E8CA"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Fibre Interconnection Futureproofing:</w:t>
      </w:r>
      <w:r w:rsidRPr="00FB2CC2">
        <w:rPr>
          <w:sz w:val="28"/>
          <w:szCs w:val="28"/>
        </w:rPr>
        <w:br/>
        <w:t>Spare capacity built in with dark fibre ring</w:t>
      </w:r>
    </w:p>
    <w:p w14:paraId="1BF78845" w14:textId="6CE790B5"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HVAC Cross-Zonal Redundancy:</w:t>
      </w:r>
      <w:r w:rsidRPr="00FB2CC2">
        <w:rPr>
          <w:sz w:val="28"/>
          <w:szCs w:val="28"/>
        </w:rPr>
        <w:br/>
      </w:r>
      <w:r w:rsidR="00FB2CC2">
        <w:rPr>
          <w:sz w:val="28"/>
          <w:szCs w:val="28"/>
        </w:rPr>
        <w:t xml:space="preserve">Distributed </w:t>
      </w:r>
      <w:r w:rsidR="00CB339B" w:rsidRPr="00CB339B">
        <w:rPr>
          <w:sz w:val="28"/>
          <w:szCs w:val="28"/>
        </w:rPr>
        <w:t xml:space="preserve">3-to-2 </w:t>
      </w:r>
      <w:r w:rsidR="00CB339B">
        <w:rPr>
          <w:sz w:val="28"/>
          <w:szCs w:val="28"/>
        </w:rPr>
        <w:t>c</w:t>
      </w:r>
      <w:r w:rsidR="00CB339B" w:rsidRPr="00CB339B">
        <w:rPr>
          <w:sz w:val="28"/>
          <w:szCs w:val="28"/>
        </w:rPr>
        <w:t xml:space="preserve">ooling </w:t>
      </w:r>
      <w:r w:rsidR="00CB339B">
        <w:rPr>
          <w:sz w:val="28"/>
          <w:szCs w:val="28"/>
        </w:rPr>
        <w:t>redundancy</w:t>
      </w:r>
    </w:p>
    <w:p w14:paraId="4B8EA103" w14:textId="29EF6110" w:rsidR="003E1B6B" w:rsidRPr="00FB2CC2" w:rsidRDefault="00DF03FD" w:rsidP="003E1B6B">
      <w:pPr>
        <w:pStyle w:val="NormalWeb"/>
        <w:rPr>
          <w:sz w:val="28"/>
          <w:szCs w:val="28"/>
        </w:rPr>
      </w:pPr>
      <w:r>
        <w:rPr>
          <w:sz w:val="28"/>
          <w:szCs w:val="28"/>
        </w:rPr>
        <w:pict w14:anchorId="39C3DC83">
          <v:rect id="_x0000_i1056" style="width:0;height:1.5pt" o:hralign="center" o:hrstd="t" o:hr="t" fillcolor="#a0a0a0" stroked="f"/>
        </w:pict>
      </w:r>
    </w:p>
    <w:p w14:paraId="7610E6CF" w14:textId="64664B14" w:rsidR="003E1B6B" w:rsidRPr="00FB2CC2" w:rsidRDefault="003E1B6B" w:rsidP="003E1B6B">
      <w:pPr>
        <w:pStyle w:val="Heading1"/>
        <w:rPr>
          <w:rFonts w:ascii="Times New Roman" w:hAnsi="Times New Roman" w:cs="Times New Roman"/>
          <w:color w:val="auto"/>
        </w:rPr>
      </w:pPr>
      <w:r w:rsidRPr="00FB2CC2">
        <w:rPr>
          <w:rFonts w:ascii="Times New Roman" w:hAnsi="Times New Roman" w:cs="Times New Roman"/>
          <w:color w:val="auto"/>
        </w:rPr>
        <w:t>SECTION 4 — Additional Notes/Information</w:t>
      </w:r>
    </w:p>
    <w:p w14:paraId="024CF8CE"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Institutional Structuring Appointment:</w:t>
      </w:r>
      <w:r w:rsidRPr="00FB2CC2">
        <w:rPr>
          <w:sz w:val="28"/>
          <w:szCs w:val="28"/>
        </w:rPr>
        <w:br/>
        <w:t>Confirmed — RED AMC &amp; TBC</w:t>
      </w:r>
    </w:p>
    <w:p w14:paraId="5DF1A8A9" w14:textId="77777777" w:rsidR="003E1B6B" w:rsidRPr="00FB2CC2"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Structuring Control:</w:t>
      </w:r>
      <w:r w:rsidRPr="00FB2CC2">
        <w:rPr>
          <w:sz w:val="28"/>
          <w:szCs w:val="28"/>
        </w:rPr>
        <w:br/>
        <w:t>Confirmed</w:t>
      </w:r>
    </w:p>
    <w:p w14:paraId="1AE05396" w14:textId="77777777" w:rsidR="003E1B6B" w:rsidRPr="00B64820" w:rsidRDefault="003E1B6B" w:rsidP="003E1B6B">
      <w:pPr>
        <w:pStyle w:val="NormalWeb"/>
        <w:rPr>
          <w:sz w:val="28"/>
          <w:szCs w:val="28"/>
        </w:rPr>
      </w:pPr>
      <w:r w:rsidRPr="00FB2CC2">
        <w:rPr>
          <w:rFonts w:ascii="Segoe UI Symbol" w:hAnsi="Segoe UI Symbol" w:cs="Segoe UI Symbol"/>
          <w:sz w:val="28"/>
          <w:szCs w:val="28"/>
        </w:rPr>
        <w:t>☑</w:t>
      </w:r>
      <w:r w:rsidRPr="00FB2CC2">
        <w:rPr>
          <w:sz w:val="28"/>
          <w:szCs w:val="28"/>
        </w:rPr>
        <w:t xml:space="preserve"> </w:t>
      </w:r>
      <w:r w:rsidRPr="00FB2CC2">
        <w:rPr>
          <w:b/>
          <w:bCs/>
          <w:sz w:val="28"/>
          <w:szCs w:val="28"/>
        </w:rPr>
        <w:t>Ongoing Information Commitment:</w:t>
      </w:r>
      <w:r w:rsidRPr="00FB2CC2">
        <w:rPr>
          <w:sz w:val="28"/>
          <w:szCs w:val="28"/>
        </w:rPr>
        <w:br/>
        <w:t>Confirmed</w:t>
      </w:r>
    </w:p>
    <w:p w14:paraId="488917FF" w14:textId="77777777" w:rsidR="003E1B6B" w:rsidRPr="003E1B6B" w:rsidRDefault="003E1B6B" w:rsidP="003E1B6B"/>
    <w:p w14:paraId="5D7E86F3" w14:textId="77777777" w:rsidR="00F524E4" w:rsidRPr="003E1B6B" w:rsidRDefault="00F524E4" w:rsidP="00D10339">
      <w:pPr>
        <w:pStyle w:val="NormalWeb"/>
        <w:rPr>
          <w:sz w:val="28"/>
          <w:szCs w:val="28"/>
        </w:rPr>
      </w:pPr>
    </w:p>
    <w:sectPr w:rsidR="00F524E4" w:rsidRPr="003E1B6B" w:rsidSect="00F31B71">
      <w:headerReference w:type="first" r:id="rId11"/>
      <w:footerReference w:type="first" r:id="rId12"/>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38F53" w14:textId="77777777" w:rsidR="00DF03FD" w:rsidRDefault="00DF03FD" w:rsidP="00F31B71">
      <w:pPr>
        <w:spacing w:after="0" w:line="240" w:lineRule="auto"/>
      </w:pPr>
      <w:r>
        <w:separator/>
      </w:r>
    </w:p>
  </w:endnote>
  <w:endnote w:type="continuationSeparator" w:id="0">
    <w:p w14:paraId="233719C6" w14:textId="77777777" w:rsidR="00DF03FD" w:rsidRDefault="00DF03FD" w:rsidP="00F31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CDD4F" w14:textId="1D29C31B" w:rsidR="00F31B71" w:rsidRPr="00F31B71" w:rsidRDefault="00F31B71">
    <w:pPr>
      <w:pStyle w:val="Footer"/>
      <w:rPr>
        <w:lang w:val="en-GB"/>
      </w:rPr>
    </w:pPr>
    <w:r>
      <w:rPr>
        <w:lang w:val="en-GB"/>
      </w:rPr>
      <w:tab/>
    </w:r>
    <w:r>
      <w:rPr>
        <w:lang w:val="en-GB"/>
      </w:rPr>
      <w:tab/>
    </w:r>
    <w:r>
      <w:rPr>
        <w:lang w:val="en-GB"/>
      </w:rPr>
      <w:tab/>
    </w:r>
    <w:r>
      <w:rPr>
        <w:lang w:val="en-GB"/>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6617337"/>
      <w:docPartObj>
        <w:docPartGallery w:val="Page Numbers (Bottom of Page)"/>
        <w:docPartUnique/>
      </w:docPartObj>
    </w:sdtPr>
    <w:sdtEndPr>
      <w:rPr>
        <w:noProof/>
      </w:rPr>
    </w:sdtEndPr>
    <w:sdtContent>
      <w:p w14:paraId="36AA8D2F" w14:textId="2CDD8AF6" w:rsidR="00F31B71" w:rsidRDefault="00F31B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8CE1F0" w14:textId="1AFEA91D" w:rsidR="00F31B71" w:rsidRPr="00F31B71" w:rsidRDefault="00F31B71">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AB433" w14:textId="77777777" w:rsidR="00DF03FD" w:rsidRDefault="00DF03FD" w:rsidP="00F31B71">
      <w:pPr>
        <w:spacing w:after="0" w:line="240" w:lineRule="auto"/>
      </w:pPr>
      <w:r>
        <w:separator/>
      </w:r>
    </w:p>
  </w:footnote>
  <w:footnote w:type="continuationSeparator" w:id="0">
    <w:p w14:paraId="2EF906FF" w14:textId="77777777" w:rsidR="00DF03FD" w:rsidRDefault="00DF03FD" w:rsidP="00F31B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C1133" w14:textId="77777777" w:rsidR="00472BC1" w:rsidRPr="00EF0A8D" w:rsidRDefault="00472BC1" w:rsidP="00472BC1">
    <w:pPr>
      <w:pStyle w:val="Header"/>
    </w:pPr>
    <w:proofErr w:type="spellStart"/>
    <w:r w:rsidRPr="00EF0A8D">
      <w:t>Covilhã</w:t>
    </w:r>
    <w:proofErr w:type="spellEnd"/>
    <w:r w:rsidRPr="00EF0A8D">
      <w:t>, Portuga</w:t>
    </w:r>
    <w:r>
      <w:t>l</w:t>
    </w:r>
  </w:p>
  <w:p w14:paraId="364E528F" w14:textId="3447FE1B" w:rsidR="003E1B6B" w:rsidRPr="00472BC1" w:rsidRDefault="003E1B6B" w:rsidP="00472B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BC495" w14:textId="72CD30C0" w:rsidR="003E1B6B" w:rsidRPr="00EF0A8D" w:rsidRDefault="00EF0A8D" w:rsidP="00EF0A8D">
    <w:pPr>
      <w:pStyle w:val="Header"/>
    </w:pPr>
    <w:proofErr w:type="spellStart"/>
    <w:r w:rsidRPr="00EF0A8D">
      <w:t>Covilhã</w:t>
    </w:r>
    <w:proofErr w:type="spellEnd"/>
    <w:r w:rsidRPr="00EF0A8D">
      <w:t>, Portuga</w:t>
    </w:r>
    <w:r>
      <w:t>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760DF" w14:textId="77777777" w:rsidR="00F31B71" w:rsidRDefault="00F31B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5A33137"/>
    <w:multiLevelType w:val="multilevel"/>
    <w:tmpl w:val="7674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797D75"/>
    <w:multiLevelType w:val="multilevel"/>
    <w:tmpl w:val="89FE7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25CDC"/>
    <w:multiLevelType w:val="hybridMultilevel"/>
    <w:tmpl w:val="355ED95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C882676"/>
    <w:multiLevelType w:val="multilevel"/>
    <w:tmpl w:val="72B0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5818F9"/>
    <w:multiLevelType w:val="multilevel"/>
    <w:tmpl w:val="74265C66"/>
    <w:lvl w:ilvl="0">
      <w:start w:val="1"/>
      <w:numFmt w:val="decimal"/>
      <w:lvlText w:val="%1.0"/>
      <w:lvlJc w:val="left"/>
      <w:pPr>
        <w:ind w:left="405" w:hanging="405"/>
      </w:pPr>
      <w:rPr>
        <w:rFonts w:hint="default"/>
        <w:b w:val="0"/>
      </w:rPr>
    </w:lvl>
    <w:lvl w:ilvl="1">
      <w:start w:val="1"/>
      <w:numFmt w:val="decimal"/>
      <w:lvlText w:val="%1.%2"/>
      <w:lvlJc w:val="left"/>
      <w:pPr>
        <w:ind w:left="1125" w:hanging="405"/>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5040" w:hanging="144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840" w:hanging="1800"/>
      </w:pPr>
      <w:rPr>
        <w:rFonts w:hint="default"/>
        <w:b w:val="0"/>
      </w:rPr>
    </w:lvl>
    <w:lvl w:ilvl="8">
      <w:start w:val="1"/>
      <w:numFmt w:val="decimal"/>
      <w:lvlText w:val="%1.%2.%3.%4.%5.%6.%7.%8.%9"/>
      <w:lvlJc w:val="left"/>
      <w:pPr>
        <w:ind w:left="7560" w:hanging="1800"/>
      </w:pPr>
      <w:rPr>
        <w:rFonts w:hint="default"/>
        <w:b w:val="0"/>
      </w:rPr>
    </w:lvl>
  </w:abstractNum>
  <w:abstractNum w:abstractNumId="14" w15:restartNumberingAfterBreak="0">
    <w:nsid w:val="434B4CA6"/>
    <w:multiLevelType w:val="multilevel"/>
    <w:tmpl w:val="796E0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495F58"/>
    <w:multiLevelType w:val="multilevel"/>
    <w:tmpl w:val="E46E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436819"/>
    <w:multiLevelType w:val="multilevel"/>
    <w:tmpl w:val="C6F0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F257D0"/>
    <w:multiLevelType w:val="multilevel"/>
    <w:tmpl w:val="3DEA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3"/>
  </w:num>
  <w:num w:numId="12">
    <w:abstractNumId w:val="9"/>
  </w:num>
  <w:num w:numId="13">
    <w:abstractNumId w:val="14"/>
  </w:num>
  <w:num w:numId="14">
    <w:abstractNumId w:val="10"/>
  </w:num>
  <w:num w:numId="15">
    <w:abstractNumId w:val="17"/>
  </w:num>
  <w:num w:numId="16">
    <w:abstractNumId w:val="12"/>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DD5"/>
    <w:rsid w:val="0001230C"/>
    <w:rsid w:val="00034616"/>
    <w:rsid w:val="00051035"/>
    <w:rsid w:val="0006063C"/>
    <w:rsid w:val="00073423"/>
    <w:rsid w:val="000974F8"/>
    <w:rsid w:val="00107151"/>
    <w:rsid w:val="00147B09"/>
    <w:rsid w:val="0015074B"/>
    <w:rsid w:val="0017061C"/>
    <w:rsid w:val="00171DF3"/>
    <w:rsid w:val="0018730B"/>
    <w:rsid w:val="001E5376"/>
    <w:rsid w:val="001F72A1"/>
    <w:rsid w:val="002420F7"/>
    <w:rsid w:val="002601AF"/>
    <w:rsid w:val="0027499C"/>
    <w:rsid w:val="00274C05"/>
    <w:rsid w:val="002832C6"/>
    <w:rsid w:val="0029639D"/>
    <w:rsid w:val="002A2153"/>
    <w:rsid w:val="00326F90"/>
    <w:rsid w:val="003C6D14"/>
    <w:rsid w:val="003E1B6B"/>
    <w:rsid w:val="00420E31"/>
    <w:rsid w:val="00423315"/>
    <w:rsid w:val="0042798F"/>
    <w:rsid w:val="00466B90"/>
    <w:rsid w:val="00472BC1"/>
    <w:rsid w:val="004A5ED7"/>
    <w:rsid w:val="004B20BB"/>
    <w:rsid w:val="004C4A1C"/>
    <w:rsid w:val="004E7A95"/>
    <w:rsid w:val="00501507"/>
    <w:rsid w:val="00533B04"/>
    <w:rsid w:val="00553080"/>
    <w:rsid w:val="005532DA"/>
    <w:rsid w:val="005A7A10"/>
    <w:rsid w:val="005C559F"/>
    <w:rsid w:val="005D654F"/>
    <w:rsid w:val="005F222A"/>
    <w:rsid w:val="005F2785"/>
    <w:rsid w:val="00680F7A"/>
    <w:rsid w:val="006A5E3B"/>
    <w:rsid w:val="00700615"/>
    <w:rsid w:val="007274ED"/>
    <w:rsid w:val="007374F2"/>
    <w:rsid w:val="00816430"/>
    <w:rsid w:val="00841BAF"/>
    <w:rsid w:val="00857F0F"/>
    <w:rsid w:val="008879D4"/>
    <w:rsid w:val="009849BB"/>
    <w:rsid w:val="00996FB3"/>
    <w:rsid w:val="009D4A37"/>
    <w:rsid w:val="00A37CDF"/>
    <w:rsid w:val="00A37D9C"/>
    <w:rsid w:val="00A964AB"/>
    <w:rsid w:val="00AA1D8D"/>
    <w:rsid w:val="00AB1063"/>
    <w:rsid w:val="00B31EED"/>
    <w:rsid w:val="00B47730"/>
    <w:rsid w:val="00B62C48"/>
    <w:rsid w:val="00B64A82"/>
    <w:rsid w:val="00BA6E35"/>
    <w:rsid w:val="00BB40A6"/>
    <w:rsid w:val="00C02438"/>
    <w:rsid w:val="00C31823"/>
    <w:rsid w:val="00CB0664"/>
    <w:rsid w:val="00CB339B"/>
    <w:rsid w:val="00CB71AB"/>
    <w:rsid w:val="00D10339"/>
    <w:rsid w:val="00DE2810"/>
    <w:rsid w:val="00DF03FD"/>
    <w:rsid w:val="00E001E0"/>
    <w:rsid w:val="00E4541B"/>
    <w:rsid w:val="00E47C77"/>
    <w:rsid w:val="00E54B9F"/>
    <w:rsid w:val="00E655C2"/>
    <w:rsid w:val="00EB44E9"/>
    <w:rsid w:val="00EF0A8D"/>
    <w:rsid w:val="00EF53B3"/>
    <w:rsid w:val="00F2568F"/>
    <w:rsid w:val="00F31B71"/>
    <w:rsid w:val="00F46256"/>
    <w:rsid w:val="00F524E4"/>
    <w:rsid w:val="00F93918"/>
    <w:rsid w:val="00FB2CC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7B4940"/>
  <w14:defaultImageDpi w14:val="300"/>
  <w15:docId w15:val="{98591165-6C7B-4BDB-92D5-D739AA0CA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5F222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2958">
      <w:bodyDiv w:val="1"/>
      <w:marLeft w:val="0"/>
      <w:marRight w:val="0"/>
      <w:marTop w:val="0"/>
      <w:marBottom w:val="0"/>
      <w:divBdr>
        <w:top w:val="none" w:sz="0" w:space="0" w:color="auto"/>
        <w:left w:val="none" w:sz="0" w:space="0" w:color="auto"/>
        <w:bottom w:val="none" w:sz="0" w:space="0" w:color="auto"/>
        <w:right w:val="none" w:sz="0" w:space="0" w:color="auto"/>
      </w:divBdr>
    </w:div>
    <w:div w:id="18704618">
      <w:bodyDiv w:val="1"/>
      <w:marLeft w:val="0"/>
      <w:marRight w:val="0"/>
      <w:marTop w:val="0"/>
      <w:marBottom w:val="0"/>
      <w:divBdr>
        <w:top w:val="none" w:sz="0" w:space="0" w:color="auto"/>
        <w:left w:val="none" w:sz="0" w:space="0" w:color="auto"/>
        <w:bottom w:val="none" w:sz="0" w:space="0" w:color="auto"/>
        <w:right w:val="none" w:sz="0" w:space="0" w:color="auto"/>
      </w:divBdr>
    </w:div>
    <w:div w:id="223639643">
      <w:bodyDiv w:val="1"/>
      <w:marLeft w:val="0"/>
      <w:marRight w:val="0"/>
      <w:marTop w:val="0"/>
      <w:marBottom w:val="0"/>
      <w:divBdr>
        <w:top w:val="none" w:sz="0" w:space="0" w:color="auto"/>
        <w:left w:val="none" w:sz="0" w:space="0" w:color="auto"/>
        <w:bottom w:val="none" w:sz="0" w:space="0" w:color="auto"/>
        <w:right w:val="none" w:sz="0" w:space="0" w:color="auto"/>
      </w:divBdr>
    </w:div>
    <w:div w:id="232812616">
      <w:bodyDiv w:val="1"/>
      <w:marLeft w:val="0"/>
      <w:marRight w:val="0"/>
      <w:marTop w:val="0"/>
      <w:marBottom w:val="0"/>
      <w:divBdr>
        <w:top w:val="none" w:sz="0" w:space="0" w:color="auto"/>
        <w:left w:val="none" w:sz="0" w:space="0" w:color="auto"/>
        <w:bottom w:val="none" w:sz="0" w:space="0" w:color="auto"/>
        <w:right w:val="none" w:sz="0" w:space="0" w:color="auto"/>
      </w:divBdr>
    </w:div>
    <w:div w:id="254704927">
      <w:bodyDiv w:val="1"/>
      <w:marLeft w:val="0"/>
      <w:marRight w:val="0"/>
      <w:marTop w:val="0"/>
      <w:marBottom w:val="0"/>
      <w:divBdr>
        <w:top w:val="none" w:sz="0" w:space="0" w:color="auto"/>
        <w:left w:val="none" w:sz="0" w:space="0" w:color="auto"/>
        <w:bottom w:val="none" w:sz="0" w:space="0" w:color="auto"/>
        <w:right w:val="none" w:sz="0" w:space="0" w:color="auto"/>
      </w:divBdr>
    </w:div>
    <w:div w:id="308050815">
      <w:bodyDiv w:val="1"/>
      <w:marLeft w:val="0"/>
      <w:marRight w:val="0"/>
      <w:marTop w:val="0"/>
      <w:marBottom w:val="0"/>
      <w:divBdr>
        <w:top w:val="none" w:sz="0" w:space="0" w:color="auto"/>
        <w:left w:val="none" w:sz="0" w:space="0" w:color="auto"/>
        <w:bottom w:val="none" w:sz="0" w:space="0" w:color="auto"/>
        <w:right w:val="none" w:sz="0" w:space="0" w:color="auto"/>
      </w:divBdr>
    </w:div>
    <w:div w:id="313147596">
      <w:bodyDiv w:val="1"/>
      <w:marLeft w:val="0"/>
      <w:marRight w:val="0"/>
      <w:marTop w:val="0"/>
      <w:marBottom w:val="0"/>
      <w:divBdr>
        <w:top w:val="none" w:sz="0" w:space="0" w:color="auto"/>
        <w:left w:val="none" w:sz="0" w:space="0" w:color="auto"/>
        <w:bottom w:val="none" w:sz="0" w:space="0" w:color="auto"/>
        <w:right w:val="none" w:sz="0" w:space="0" w:color="auto"/>
      </w:divBdr>
    </w:div>
    <w:div w:id="339740934">
      <w:bodyDiv w:val="1"/>
      <w:marLeft w:val="0"/>
      <w:marRight w:val="0"/>
      <w:marTop w:val="0"/>
      <w:marBottom w:val="0"/>
      <w:divBdr>
        <w:top w:val="none" w:sz="0" w:space="0" w:color="auto"/>
        <w:left w:val="none" w:sz="0" w:space="0" w:color="auto"/>
        <w:bottom w:val="none" w:sz="0" w:space="0" w:color="auto"/>
        <w:right w:val="none" w:sz="0" w:space="0" w:color="auto"/>
      </w:divBdr>
    </w:div>
    <w:div w:id="344982154">
      <w:bodyDiv w:val="1"/>
      <w:marLeft w:val="0"/>
      <w:marRight w:val="0"/>
      <w:marTop w:val="0"/>
      <w:marBottom w:val="0"/>
      <w:divBdr>
        <w:top w:val="none" w:sz="0" w:space="0" w:color="auto"/>
        <w:left w:val="none" w:sz="0" w:space="0" w:color="auto"/>
        <w:bottom w:val="none" w:sz="0" w:space="0" w:color="auto"/>
        <w:right w:val="none" w:sz="0" w:space="0" w:color="auto"/>
      </w:divBdr>
    </w:div>
    <w:div w:id="355271763">
      <w:bodyDiv w:val="1"/>
      <w:marLeft w:val="0"/>
      <w:marRight w:val="0"/>
      <w:marTop w:val="0"/>
      <w:marBottom w:val="0"/>
      <w:divBdr>
        <w:top w:val="none" w:sz="0" w:space="0" w:color="auto"/>
        <w:left w:val="none" w:sz="0" w:space="0" w:color="auto"/>
        <w:bottom w:val="none" w:sz="0" w:space="0" w:color="auto"/>
        <w:right w:val="none" w:sz="0" w:space="0" w:color="auto"/>
      </w:divBdr>
    </w:div>
    <w:div w:id="370307586">
      <w:bodyDiv w:val="1"/>
      <w:marLeft w:val="0"/>
      <w:marRight w:val="0"/>
      <w:marTop w:val="0"/>
      <w:marBottom w:val="0"/>
      <w:divBdr>
        <w:top w:val="none" w:sz="0" w:space="0" w:color="auto"/>
        <w:left w:val="none" w:sz="0" w:space="0" w:color="auto"/>
        <w:bottom w:val="none" w:sz="0" w:space="0" w:color="auto"/>
        <w:right w:val="none" w:sz="0" w:space="0" w:color="auto"/>
      </w:divBdr>
    </w:div>
    <w:div w:id="377321220">
      <w:bodyDiv w:val="1"/>
      <w:marLeft w:val="0"/>
      <w:marRight w:val="0"/>
      <w:marTop w:val="0"/>
      <w:marBottom w:val="0"/>
      <w:divBdr>
        <w:top w:val="none" w:sz="0" w:space="0" w:color="auto"/>
        <w:left w:val="none" w:sz="0" w:space="0" w:color="auto"/>
        <w:bottom w:val="none" w:sz="0" w:space="0" w:color="auto"/>
        <w:right w:val="none" w:sz="0" w:space="0" w:color="auto"/>
      </w:divBdr>
    </w:div>
    <w:div w:id="419134596">
      <w:bodyDiv w:val="1"/>
      <w:marLeft w:val="0"/>
      <w:marRight w:val="0"/>
      <w:marTop w:val="0"/>
      <w:marBottom w:val="0"/>
      <w:divBdr>
        <w:top w:val="none" w:sz="0" w:space="0" w:color="auto"/>
        <w:left w:val="none" w:sz="0" w:space="0" w:color="auto"/>
        <w:bottom w:val="none" w:sz="0" w:space="0" w:color="auto"/>
        <w:right w:val="none" w:sz="0" w:space="0" w:color="auto"/>
      </w:divBdr>
    </w:div>
    <w:div w:id="438574191">
      <w:bodyDiv w:val="1"/>
      <w:marLeft w:val="0"/>
      <w:marRight w:val="0"/>
      <w:marTop w:val="0"/>
      <w:marBottom w:val="0"/>
      <w:divBdr>
        <w:top w:val="none" w:sz="0" w:space="0" w:color="auto"/>
        <w:left w:val="none" w:sz="0" w:space="0" w:color="auto"/>
        <w:bottom w:val="none" w:sz="0" w:space="0" w:color="auto"/>
        <w:right w:val="none" w:sz="0" w:space="0" w:color="auto"/>
      </w:divBdr>
      <w:divsChild>
        <w:div w:id="1257443974">
          <w:marLeft w:val="0"/>
          <w:marRight w:val="0"/>
          <w:marTop w:val="0"/>
          <w:marBottom w:val="0"/>
          <w:divBdr>
            <w:top w:val="none" w:sz="0" w:space="0" w:color="auto"/>
            <w:left w:val="none" w:sz="0" w:space="0" w:color="auto"/>
            <w:bottom w:val="none" w:sz="0" w:space="0" w:color="auto"/>
            <w:right w:val="none" w:sz="0" w:space="0" w:color="auto"/>
          </w:divBdr>
          <w:divsChild>
            <w:div w:id="20479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7925">
      <w:bodyDiv w:val="1"/>
      <w:marLeft w:val="0"/>
      <w:marRight w:val="0"/>
      <w:marTop w:val="0"/>
      <w:marBottom w:val="0"/>
      <w:divBdr>
        <w:top w:val="none" w:sz="0" w:space="0" w:color="auto"/>
        <w:left w:val="none" w:sz="0" w:space="0" w:color="auto"/>
        <w:bottom w:val="none" w:sz="0" w:space="0" w:color="auto"/>
        <w:right w:val="none" w:sz="0" w:space="0" w:color="auto"/>
      </w:divBdr>
      <w:divsChild>
        <w:div w:id="1140150289">
          <w:marLeft w:val="0"/>
          <w:marRight w:val="0"/>
          <w:marTop w:val="0"/>
          <w:marBottom w:val="0"/>
          <w:divBdr>
            <w:top w:val="none" w:sz="0" w:space="0" w:color="auto"/>
            <w:left w:val="none" w:sz="0" w:space="0" w:color="auto"/>
            <w:bottom w:val="none" w:sz="0" w:space="0" w:color="auto"/>
            <w:right w:val="none" w:sz="0" w:space="0" w:color="auto"/>
          </w:divBdr>
          <w:divsChild>
            <w:div w:id="121508727">
              <w:marLeft w:val="0"/>
              <w:marRight w:val="0"/>
              <w:marTop w:val="0"/>
              <w:marBottom w:val="0"/>
              <w:divBdr>
                <w:top w:val="none" w:sz="0" w:space="0" w:color="auto"/>
                <w:left w:val="none" w:sz="0" w:space="0" w:color="auto"/>
                <w:bottom w:val="none" w:sz="0" w:space="0" w:color="auto"/>
                <w:right w:val="none" w:sz="0" w:space="0" w:color="auto"/>
              </w:divBdr>
            </w:div>
          </w:divsChild>
        </w:div>
        <w:div w:id="211842854">
          <w:marLeft w:val="0"/>
          <w:marRight w:val="0"/>
          <w:marTop w:val="0"/>
          <w:marBottom w:val="0"/>
          <w:divBdr>
            <w:top w:val="none" w:sz="0" w:space="0" w:color="auto"/>
            <w:left w:val="none" w:sz="0" w:space="0" w:color="auto"/>
            <w:bottom w:val="none" w:sz="0" w:space="0" w:color="auto"/>
            <w:right w:val="none" w:sz="0" w:space="0" w:color="auto"/>
          </w:divBdr>
          <w:divsChild>
            <w:div w:id="11024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8887">
      <w:bodyDiv w:val="1"/>
      <w:marLeft w:val="0"/>
      <w:marRight w:val="0"/>
      <w:marTop w:val="0"/>
      <w:marBottom w:val="0"/>
      <w:divBdr>
        <w:top w:val="none" w:sz="0" w:space="0" w:color="auto"/>
        <w:left w:val="none" w:sz="0" w:space="0" w:color="auto"/>
        <w:bottom w:val="none" w:sz="0" w:space="0" w:color="auto"/>
        <w:right w:val="none" w:sz="0" w:space="0" w:color="auto"/>
      </w:divBdr>
    </w:div>
    <w:div w:id="576593742">
      <w:bodyDiv w:val="1"/>
      <w:marLeft w:val="0"/>
      <w:marRight w:val="0"/>
      <w:marTop w:val="0"/>
      <w:marBottom w:val="0"/>
      <w:divBdr>
        <w:top w:val="none" w:sz="0" w:space="0" w:color="auto"/>
        <w:left w:val="none" w:sz="0" w:space="0" w:color="auto"/>
        <w:bottom w:val="none" w:sz="0" w:space="0" w:color="auto"/>
        <w:right w:val="none" w:sz="0" w:space="0" w:color="auto"/>
      </w:divBdr>
    </w:div>
    <w:div w:id="686759539">
      <w:bodyDiv w:val="1"/>
      <w:marLeft w:val="0"/>
      <w:marRight w:val="0"/>
      <w:marTop w:val="0"/>
      <w:marBottom w:val="0"/>
      <w:divBdr>
        <w:top w:val="none" w:sz="0" w:space="0" w:color="auto"/>
        <w:left w:val="none" w:sz="0" w:space="0" w:color="auto"/>
        <w:bottom w:val="none" w:sz="0" w:space="0" w:color="auto"/>
        <w:right w:val="none" w:sz="0" w:space="0" w:color="auto"/>
      </w:divBdr>
    </w:div>
    <w:div w:id="687680776">
      <w:bodyDiv w:val="1"/>
      <w:marLeft w:val="0"/>
      <w:marRight w:val="0"/>
      <w:marTop w:val="0"/>
      <w:marBottom w:val="0"/>
      <w:divBdr>
        <w:top w:val="none" w:sz="0" w:space="0" w:color="auto"/>
        <w:left w:val="none" w:sz="0" w:space="0" w:color="auto"/>
        <w:bottom w:val="none" w:sz="0" w:space="0" w:color="auto"/>
        <w:right w:val="none" w:sz="0" w:space="0" w:color="auto"/>
      </w:divBdr>
      <w:divsChild>
        <w:div w:id="2049530297">
          <w:marLeft w:val="0"/>
          <w:marRight w:val="0"/>
          <w:marTop w:val="0"/>
          <w:marBottom w:val="0"/>
          <w:divBdr>
            <w:top w:val="none" w:sz="0" w:space="0" w:color="auto"/>
            <w:left w:val="none" w:sz="0" w:space="0" w:color="auto"/>
            <w:bottom w:val="none" w:sz="0" w:space="0" w:color="auto"/>
            <w:right w:val="none" w:sz="0" w:space="0" w:color="auto"/>
          </w:divBdr>
          <w:divsChild>
            <w:div w:id="81665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1403">
      <w:bodyDiv w:val="1"/>
      <w:marLeft w:val="0"/>
      <w:marRight w:val="0"/>
      <w:marTop w:val="0"/>
      <w:marBottom w:val="0"/>
      <w:divBdr>
        <w:top w:val="none" w:sz="0" w:space="0" w:color="auto"/>
        <w:left w:val="none" w:sz="0" w:space="0" w:color="auto"/>
        <w:bottom w:val="none" w:sz="0" w:space="0" w:color="auto"/>
        <w:right w:val="none" w:sz="0" w:space="0" w:color="auto"/>
      </w:divBdr>
    </w:div>
    <w:div w:id="702481105">
      <w:bodyDiv w:val="1"/>
      <w:marLeft w:val="0"/>
      <w:marRight w:val="0"/>
      <w:marTop w:val="0"/>
      <w:marBottom w:val="0"/>
      <w:divBdr>
        <w:top w:val="none" w:sz="0" w:space="0" w:color="auto"/>
        <w:left w:val="none" w:sz="0" w:space="0" w:color="auto"/>
        <w:bottom w:val="none" w:sz="0" w:space="0" w:color="auto"/>
        <w:right w:val="none" w:sz="0" w:space="0" w:color="auto"/>
      </w:divBdr>
    </w:div>
    <w:div w:id="762801965">
      <w:bodyDiv w:val="1"/>
      <w:marLeft w:val="0"/>
      <w:marRight w:val="0"/>
      <w:marTop w:val="0"/>
      <w:marBottom w:val="0"/>
      <w:divBdr>
        <w:top w:val="none" w:sz="0" w:space="0" w:color="auto"/>
        <w:left w:val="none" w:sz="0" w:space="0" w:color="auto"/>
        <w:bottom w:val="none" w:sz="0" w:space="0" w:color="auto"/>
        <w:right w:val="none" w:sz="0" w:space="0" w:color="auto"/>
      </w:divBdr>
      <w:divsChild>
        <w:div w:id="785661947">
          <w:marLeft w:val="0"/>
          <w:marRight w:val="0"/>
          <w:marTop w:val="0"/>
          <w:marBottom w:val="0"/>
          <w:divBdr>
            <w:top w:val="none" w:sz="0" w:space="0" w:color="auto"/>
            <w:left w:val="none" w:sz="0" w:space="0" w:color="auto"/>
            <w:bottom w:val="none" w:sz="0" w:space="0" w:color="auto"/>
            <w:right w:val="none" w:sz="0" w:space="0" w:color="auto"/>
          </w:divBdr>
          <w:divsChild>
            <w:div w:id="71539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72702">
      <w:bodyDiv w:val="1"/>
      <w:marLeft w:val="0"/>
      <w:marRight w:val="0"/>
      <w:marTop w:val="0"/>
      <w:marBottom w:val="0"/>
      <w:divBdr>
        <w:top w:val="none" w:sz="0" w:space="0" w:color="auto"/>
        <w:left w:val="none" w:sz="0" w:space="0" w:color="auto"/>
        <w:bottom w:val="none" w:sz="0" w:space="0" w:color="auto"/>
        <w:right w:val="none" w:sz="0" w:space="0" w:color="auto"/>
      </w:divBdr>
    </w:div>
    <w:div w:id="806624345">
      <w:bodyDiv w:val="1"/>
      <w:marLeft w:val="0"/>
      <w:marRight w:val="0"/>
      <w:marTop w:val="0"/>
      <w:marBottom w:val="0"/>
      <w:divBdr>
        <w:top w:val="none" w:sz="0" w:space="0" w:color="auto"/>
        <w:left w:val="none" w:sz="0" w:space="0" w:color="auto"/>
        <w:bottom w:val="none" w:sz="0" w:space="0" w:color="auto"/>
        <w:right w:val="none" w:sz="0" w:space="0" w:color="auto"/>
      </w:divBdr>
    </w:div>
    <w:div w:id="862596251">
      <w:bodyDiv w:val="1"/>
      <w:marLeft w:val="0"/>
      <w:marRight w:val="0"/>
      <w:marTop w:val="0"/>
      <w:marBottom w:val="0"/>
      <w:divBdr>
        <w:top w:val="none" w:sz="0" w:space="0" w:color="auto"/>
        <w:left w:val="none" w:sz="0" w:space="0" w:color="auto"/>
        <w:bottom w:val="none" w:sz="0" w:space="0" w:color="auto"/>
        <w:right w:val="none" w:sz="0" w:space="0" w:color="auto"/>
      </w:divBdr>
      <w:divsChild>
        <w:div w:id="1869758596">
          <w:marLeft w:val="0"/>
          <w:marRight w:val="0"/>
          <w:marTop w:val="0"/>
          <w:marBottom w:val="0"/>
          <w:divBdr>
            <w:top w:val="none" w:sz="0" w:space="0" w:color="auto"/>
            <w:left w:val="none" w:sz="0" w:space="0" w:color="auto"/>
            <w:bottom w:val="none" w:sz="0" w:space="0" w:color="auto"/>
            <w:right w:val="none" w:sz="0" w:space="0" w:color="auto"/>
          </w:divBdr>
        </w:div>
      </w:divsChild>
    </w:div>
    <w:div w:id="905215475">
      <w:bodyDiv w:val="1"/>
      <w:marLeft w:val="0"/>
      <w:marRight w:val="0"/>
      <w:marTop w:val="0"/>
      <w:marBottom w:val="0"/>
      <w:divBdr>
        <w:top w:val="none" w:sz="0" w:space="0" w:color="auto"/>
        <w:left w:val="none" w:sz="0" w:space="0" w:color="auto"/>
        <w:bottom w:val="none" w:sz="0" w:space="0" w:color="auto"/>
        <w:right w:val="none" w:sz="0" w:space="0" w:color="auto"/>
      </w:divBdr>
    </w:div>
    <w:div w:id="938414915">
      <w:bodyDiv w:val="1"/>
      <w:marLeft w:val="0"/>
      <w:marRight w:val="0"/>
      <w:marTop w:val="0"/>
      <w:marBottom w:val="0"/>
      <w:divBdr>
        <w:top w:val="none" w:sz="0" w:space="0" w:color="auto"/>
        <w:left w:val="none" w:sz="0" w:space="0" w:color="auto"/>
        <w:bottom w:val="none" w:sz="0" w:space="0" w:color="auto"/>
        <w:right w:val="none" w:sz="0" w:space="0" w:color="auto"/>
      </w:divBdr>
    </w:div>
    <w:div w:id="964845782">
      <w:bodyDiv w:val="1"/>
      <w:marLeft w:val="0"/>
      <w:marRight w:val="0"/>
      <w:marTop w:val="0"/>
      <w:marBottom w:val="0"/>
      <w:divBdr>
        <w:top w:val="none" w:sz="0" w:space="0" w:color="auto"/>
        <w:left w:val="none" w:sz="0" w:space="0" w:color="auto"/>
        <w:bottom w:val="none" w:sz="0" w:space="0" w:color="auto"/>
        <w:right w:val="none" w:sz="0" w:space="0" w:color="auto"/>
      </w:divBdr>
    </w:div>
    <w:div w:id="1002506758">
      <w:bodyDiv w:val="1"/>
      <w:marLeft w:val="0"/>
      <w:marRight w:val="0"/>
      <w:marTop w:val="0"/>
      <w:marBottom w:val="0"/>
      <w:divBdr>
        <w:top w:val="none" w:sz="0" w:space="0" w:color="auto"/>
        <w:left w:val="none" w:sz="0" w:space="0" w:color="auto"/>
        <w:bottom w:val="none" w:sz="0" w:space="0" w:color="auto"/>
        <w:right w:val="none" w:sz="0" w:space="0" w:color="auto"/>
      </w:divBdr>
      <w:divsChild>
        <w:div w:id="1950620815">
          <w:marLeft w:val="0"/>
          <w:marRight w:val="0"/>
          <w:marTop w:val="0"/>
          <w:marBottom w:val="0"/>
          <w:divBdr>
            <w:top w:val="none" w:sz="0" w:space="0" w:color="auto"/>
            <w:left w:val="none" w:sz="0" w:space="0" w:color="auto"/>
            <w:bottom w:val="none" w:sz="0" w:space="0" w:color="auto"/>
            <w:right w:val="none" w:sz="0" w:space="0" w:color="auto"/>
          </w:divBdr>
        </w:div>
      </w:divsChild>
    </w:div>
    <w:div w:id="1095439371">
      <w:bodyDiv w:val="1"/>
      <w:marLeft w:val="0"/>
      <w:marRight w:val="0"/>
      <w:marTop w:val="0"/>
      <w:marBottom w:val="0"/>
      <w:divBdr>
        <w:top w:val="none" w:sz="0" w:space="0" w:color="auto"/>
        <w:left w:val="none" w:sz="0" w:space="0" w:color="auto"/>
        <w:bottom w:val="none" w:sz="0" w:space="0" w:color="auto"/>
        <w:right w:val="none" w:sz="0" w:space="0" w:color="auto"/>
      </w:divBdr>
    </w:div>
    <w:div w:id="1124033790">
      <w:bodyDiv w:val="1"/>
      <w:marLeft w:val="0"/>
      <w:marRight w:val="0"/>
      <w:marTop w:val="0"/>
      <w:marBottom w:val="0"/>
      <w:divBdr>
        <w:top w:val="none" w:sz="0" w:space="0" w:color="auto"/>
        <w:left w:val="none" w:sz="0" w:space="0" w:color="auto"/>
        <w:bottom w:val="none" w:sz="0" w:space="0" w:color="auto"/>
        <w:right w:val="none" w:sz="0" w:space="0" w:color="auto"/>
      </w:divBdr>
      <w:divsChild>
        <w:div w:id="122815066">
          <w:marLeft w:val="0"/>
          <w:marRight w:val="0"/>
          <w:marTop w:val="0"/>
          <w:marBottom w:val="0"/>
          <w:divBdr>
            <w:top w:val="none" w:sz="0" w:space="0" w:color="auto"/>
            <w:left w:val="none" w:sz="0" w:space="0" w:color="auto"/>
            <w:bottom w:val="none" w:sz="0" w:space="0" w:color="auto"/>
            <w:right w:val="none" w:sz="0" w:space="0" w:color="auto"/>
          </w:divBdr>
        </w:div>
      </w:divsChild>
    </w:div>
    <w:div w:id="1203055945">
      <w:bodyDiv w:val="1"/>
      <w:marLeft w:val="0"/>
      <w:marRight w:val="0"/>
      <w:marTop w:val="0"/>
      <w:marBottom w:val="0"/>
      <w:divBdr>
        <w:top w:val="none" w:sz="0" w:space="0" w:color="auto"/>
        <w:left w:val="none" w:sz="0" w:space="0" w:color="auto"/>
        <w:bottom w:val="none" w:sz="0" w:space="0" w:color="auto"/>
        <w:right w:val="none" w:sz="0" w:space="0" w:color="auto"/>
      </w:divBdr>
      <w:divsChild>
        <w:div w:id="1614240416">
          <w:marLeft w:val="0"/>
          <w:marRight w:val="0"/>
          <w:marTop w:val="0"/>
          <w:marBottom w:val="0"/>
          <w:divBdr>
            <w:top w:val="none" w:sz="0" w:space="0" w:color="auto"/>
            <w:left w:val="none" w:sz="0" w:space="0" w:color="auto"/>
            <w:bottom w:val="none" w:sz="0" w:space="0" w:color="auto"/>
            <w:right w:val="none" w:sz="0" w:space="0" w:color="auto"/>
          </w:divBdr>
          <w:divsChild>
            <w:div w:id="16679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6471">
      <w:bodyDiv w:val="1"/>
      <w:marLeft w:val="0"/>
      <w:marRight w:val="0"/>
      <w:marTop w:val="0"/>
      <w:marBottom w:val="0"/>
      <w:divBdr>
        <w:top w:val="none" w:sz="0" w:space="0" w:color="auto"/>
        <w:left w:val="none" w:sz="0" w:space="0" w:color="auto"/>
        <w:bottom w:val="none" w:sz="0" w:space="0" w:color="auto"/>
        <w:right w:val="none" w:sz="0" w:space="0" w:color="auto"/>
      </w:divBdr>
    </w:div>
    <w:div w:id="1374307561">
      <w:bodyDiv w:val="1"/>
      <w:marLeft w:val="0"/>
      <w:marRight w:val="0"/>
      <w:marTop w:val="0"/>
      <w:marBottom w:val="0"/>
      <w:divBdr>
        <w:top w:val="none" w:sz="0" w:space="0" w:color="auto"/>
        <w:left w:val="none" w:sz="0" w:space="0" w:color="auto"/>
        <w:bottom w:val="none" w:sz="0" w:space="0" w:color="auto"/>
        <w:right w:val="none" w:sz="0" w:space="0" w:color="auto"/>
      </w:divBdr>
    </w:div>
    <w:div w:id="1376810840">
      <w:bodyDiv w:val="1"/>
      <w:marLeft w:val="0"/>
      <w:marRight w:val="0"/>
      <w:marTop w:val="0"/>
      <w:marBottom w:val="0"/>
      <w:divBdr>
        <w:top w:val="none" w:sz="0" w:space="0" w:color="auto"/>
        <w:left w:val="none" w:sz="0" w:space="0" w:color="auto"/>
        <w:bottom w:val="none" w:sz="0" w:space="0" w:color="auto"/>
        <w:right w:val="none" w:sz="0" w:space="0" w:color="auto"/>
      </w:divBdr>
    </w:div>
    <w:div w:id="1450782949">
      <w:bodyDiv w:val="1"/>
      <w:marLeft w:val="0"/>
      <w:marRight w:val="0"/>
      <w:marTop w:val="0"/>
      <w:marBottom w:val="0"/>
      <w:divBdr>
        <w:top w:val="none" w:sz="0" w:space="0" w:color="auto"/>
        <w:left w:val="none" w:sz="0" w:space="0" w:color="auto"/>
        <w:bottom w:val="none" w:sz="0" w:space="0" w:color="auto"/>
        <w:right w:val="none" w:sz="0" w:space="0" w:color="auto"/>
      </w:divBdr>
    </w:div>
    <w:div w:id="1529105922">
      <w:bodyDiv w:val="1"/>
      <w:marLeft w:val="0"/>
      <w:marRight w:val="0"/>
      <w:marTop w:val="0"/>
      <w:marBottom w:val="0"/>
      <w:divBdr>
        <w:top w:val="none" w:sz="0" w:space="0" w:color="auto"/>
        <w:left w:val="none" w:sz="0" w:space="0" w:color="auto"/>
        <w:bottom w:val="none" w:sz="0" w:space="0" w:color="auto"/>
        <w:right w:val="none" w:sz="0" w:space="0" w:color="auto"/>
      </w:divBdr>
    </w:div>
    <w:div w:id="1590459695">
      <w:bodyDiv w:val="1"/>
      <w:marLeft w:val="0"/>
      <w:marRight w:val="0"/>
      <w:marTop w:val="0"/>
      <w:marBottom w:val="0"/>
      <w:divBdr>
        <w:top w:val="none" w:sz="0" w:space="0" w:color="auto"/>
        <w:left w:val="none" w:sz="0" w:space="0" w:color="auto"/>
        <w:bottom w:val="none" w:sz="0" w:space="0" w:color="auto"/>
        <w:right w:val="none" w:sz="0" w:space="0" w:color="auto"/>
      </w:divBdr>
    </w:div>
    <w:div w:id="1599217688">
      <w:bodyDiv w:val="1"/>
      <w:marLeft w:val="0"/>
      <w:marRight w:val="0"/>
      <w:marTop w:val="0"/>
      <w:marBottom w:val="0"/>
      <w:divBdr>
        <w:top w:val="none" w:sz="0" w:space="0" w:color="auto"/>
        <w:left w:val="none" w:sz="0" w:space="0" w:color="auto"/>
        <w:bottom w:val="none" w:sz="0" w:space="0" w:color="auto"/>
        <w:right w:val="none" w:sz="0" w:space="0" w:color="auto"/>
      </w:divBdr>
    </w:div>
    <w:div w:id="1695036518">
      <w:bodyDiv w:val="1"/>
      <w:marLeft w:val="0"/>
      <w:marRight w:val="0"/>
      <w:marTop w:val="0"/>
      <w:marBottom w:val="0"/>
      <w:divBdr>
        <w:top w:val="none" w:sz="0" w:space="0" w:color="auto"/>
        <w:left w:val="none" w:sz="0" w:space="0" w:color="auto"/>
        <w:bottom w:val="none" w:sz="0" w:space="0" w:color="auto"/>
        <w:right w:val="none" w:sz="0" w:space="0" w:color="auto"/>
      </w:divBdr>
    </w:div>
    <w:div w:id="1748071361">
      <w:bodyDiv w:val="1"/>
      <w:marLeft w:val="0"/>
      <w:marRight w:val="0"/>
      <w:marTop w:val="0"/>
      <w:marBottom w:val="0"/>
      <w:divBdr>
        <w:top w:val="none" w:sz="0" w:space="0" w:color="auto"/>
        <w:left w:val="none" w:sz="0" w:space="0" w:color="auto"/>
        <w:bottom w:val="none" w:sz="0" w:space="0" w:color="auto"/>
        <w:right w:val="none" w:sz="0" w:space="0" w:color="auto"/>
      </w:divBdr>
    </w:div>
    <w:div w:id="1755737752">
      <w:bodyDiv w:val="1"/>
      <w:marLeft w:val="0"/>
      <w:marRight w:val="0"/>
      <w:marTop w:val="0"/>
      <w:marBottom w:val="0"/>
      <w:divBdr>
        <w:top w:val="none" w:sz="0" w:space="0" w:color="auto"/>
        <w:left w:val="none" w:sz="0" w:space="0" w:color="auto"/>
        <w:bottom w:val="none" w:sz="0" w:space="0" w:color="auto"/>
        <w:right w:val="none" w:sz="0" w:space="0" w:color="auto"/>
      </w:divBdr>
      <w:divsChild>
        <w:div w:id="1761675019">
          <w:marLeft w:val="0"/>
          <w:marRight w:val="0"/>
          <w:marTop w:val="0"/>
          <w:marBottom w:val="0"/>
          <w:divBdr>
            <w:top w:val="none" w:sz="0" w:space="0" w:color="auto"/>
            <w:left w:val="none" w:sz="0" w:space="0" w:color="auto"/>
            <w:bottom w:val="none" w:sz="0" w:space="0" w:color="auto"/>
            <w:right w:val="none" w:sz="0" w:space="0" w:color="auto"/>
          </w:divBdr>
        </w:div>
        <w:div w:id="963655889">
          <w:marLeft w:val="0"/>
          <w:marRight w:val="0"/>
          <w:marTop w:val="0"/>
          <w:marBottom w:val="0"/>
          <w:divBdr>
            <w:top w:val="none" w:sz="0" w:space="0" w:color="auto"/>
            <w:left w:val="none" w:sz="0" w:space="0" w:color="auto"/>
            <w:bottom w:val="none" w:sz="0" w:space="0" w:color="auto"/>
            <w:right w:val="none" w:sz="0" w:space="0" w:color="auto"/>
          </w:divBdr>
        </w:div>
      </w:divsChild>
    </w:div>
    <w:div w:id="1813408042">
      <w:bodyDiv w:val="1"/>
      <w:marLeft w:val="0"/>
      <w:marRight w:val="0"/>
      <w:marTop w:val="0"/>
      <w:marBottom w:val="0"/>
      <w:divBdr>
        <w:top w:val="none" w:sz="0" w:space="0" w:color="auto"/>
        <w:left w:val="none" w:sz="0" w:space="0" w:color="auto"/>
        <w:bottom w:val="none" w:sz="0" w:space="0" w:color="auto"/>
        <w:right w:val="none" w:sz="0" w:space="0" w:color="auto"/>
      </w:divBdr>
      <w:divsChild>
        <w:div w:id="788158993">
          <w:marLeft w:val="0"/>
          <w:marRight w:val="0"/>
          <w:marTop w:val="0"/>
          <w:marBottom w:val="0"/>
          <w:divBdr>
            <w:top w:val="none" w:sz="0" w:space="0" w:color="auto"/>
            <w:left w:val="none" w:sz="0" w:space="0" w:color="auto"/>
            <w:bottom w:val="none" w:sz="0" w:space="0" w:color="auto"/>
            <w:right w:val="none" w:sz="0" w:space="0" w:color="auto"/>
          </w:divBdr>
        </w:div>
      </w:divsChild>
    </w:div>
    <w:div w:id="1825774483">
      <w:bodyDiv w:val="1"/>
      <w:marLeft w:val="0"/>
      <w:marRight w:val="0"/>
      <w:marTop w:val="0"/>
      <w:marBottom w:val="0"/>
      <w:divBdr>
        <w:top w:val="none" w:sz="0" w:space="0" w:color="auto"/>
        <w:left w:val="none" w:sz="0" w:space="0" w:color="auto"/>
        <w:bottom w:val="none" w:sz="0" w:space="0" w:color="auto"/>
        <w:right w:val="none" w:sz="0" w:space="0" w:color="auto"/>
      </w:divBdr>
    </w:div>
    <w:div w:id="1881550290">
      <w:bodyDiv w:val="1"/>
      <w:marLeft w:val="0"/>
      <w:marRight w:val="0"/>
      <w:marTop w:val="0"/>
      <w:marBottom w:val="0"/>
      <w:divBdr>
        <w:top w:val="none" w:sz="0" w:space="0" w:color="auto"/>
        <w:left w:val="none" w:sz="0" w:space="0" w:color="auto"/>
        <w:bottom w:val="none" w:sz="0" w:space="0" w:color="auto"/>
        <w:right w:val="none" w:sz="0" w:space="0" w:color="auto"/>
      </w:divBdr>
    </w:div>
    <w:div w:id="1895892110">
      <w:bodyDiv w:val="1"/>
      <w:marLeft w:val="0"/>
      <w:marRight w:val="0"/>
      <w:marTop w:val="0"/>
      <w:marBottom w:val="0"/>
      <w:divBdr>
        <w:top w:val="none" w:sz="0" w:space="0" w:color="auto"/>
        <w:left w:val="none" w:sz="0" w:space="0" w:color="auto"/>
        <w:bottom w:val="none" w:sz="0" w:space="0" w:color="auto"/>
        <w:right w:val="none" w:sz="0" w:space="0" w:color="auto"/>
      </w:divBdr>
    </w:div>
    <w:div w:id="2012684238">
      <w:bodyDiv w:val="1"/>
      <w:marLeft w:val="0"/>
      <w:marRight w:val="0"/>
      <w:marTop w:val="0"/>
      <w:marBottom w:val="0"/>
      <w:divBdr>
        <w:top w:val="none" w:sz="0" w:space="0" w:color="auto"/>
        <w:left w:val="none" w:sz="0" w:space="0" w:color="auto"/>
        <w:bottom w:val="none" w:sz="0" w:space="0" w:color="auto"/>
        <w:right w:val="none" w:sz="0" w:space="0" w:color="auto"/>
      </w:divBdr>
      <w:divsChild>
        <w:div w:id="178128553">
          <w:marLeft w:val="0"/>
          <w:marRight w:val="0"/>
          <w:marTop w:val="0"/>
          <w:marBottom w:val="0"/>
          <w:divBdr>
            <w:top w:val="none" w:sz="0" w:space="0" w:color="auto"/>
            <w:left w:val="none" w:sz="0" w:space="0" w:color="auto"/>
            <w:bottom w:val="none" w:sz="0" w:space="0" w:color="auto"/>
            <w:right w:val="none" w:sz="0" w:space="0" w:color="auto"/>
          </w:divBdr>
          <w:divsChild>
            <w:div w:id="651637063">
              <w:marLeft w:val="0"/>
              <w:marRight w:val="0"/>
              <w:marTop w:val="0"/>
              <w:marBottom w:val="0"/>
              <w:divBdr>
                <w:top w:val="none" w:sz="0" w:space="0" w:color="auto"/>
                <w:left w:val="none" w:sz="0" w:space="0" w:color="auto"/>
                <w:bottom w:val="none" w:sz="0" w:space="0" w:color="auto"/>
                <w:right w:val="none" w:sz="0" w:space="0" w:color="auto"/>
              </w:divBdr>
            </w:div>
          </w:divsChild>
        </w:div>
        <w:div w:id="1154024481">
          <w:marLeft w:val="0"/>
          <w:marRight w:val="0"/>
          <w:marTop w:val="0"/>
          <w:marBottom w:val="0"/>
          <w:divBdr>
            <w:top w:val="none" w:sz="0" w:space="0" w:color="auto"/>
            <w:left w:val="none" w:sz="0" w:space="0" w:color="auto"/>
            <w:bottom w:val="none" w:sz="0" w:space="0" w:color="auto"/>
            <w:right w:val="none" w:sz="0" w:space="0" w:color="auto"/>
          </w:divBdr>
          <w:divsChild>
            <w:div w:id="8316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23</Pages>
  <Words>3044</Words>
  <Characters>17351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Moore</dc:creator>
  <cp:keywords/>
  <dc:description>generated by python-docx</dc:description>
  <cp:lastModifiedBy>Nathan McNamara</cp:lastModifiedBy>
  <cp:revision>8</cp:revision>
  <dcterms:created xsi:type="dcterms:W3CDTF">2025-06-29T20:22:00Z</dcterms:created>
  <dcterms:modified xsi:type="dcterms:W3CDTF">2025-07-02T13:27:00Z</dcterms:modified>
  <cp:category/>
</cp:coreProperties>
</file>