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38865" w14:textId="720FCDD4" w:rsidR="00E655C2" w:rsidRPr="00B64820" w:rsidRDefault="00EA5263" w:rsidP="00E655C2">
      <w:pPr>
        <w:pStyle w:val="Heading1"/>
        <w:rPr>
          <w:rFonts w:ascii="Times New Roman" w:hAnsi="Times New Roman" w:cs="Times New Roman"/>
          <w:color w:val="auto"/>
          <w:sz w:val="32"/>
          <w:szCs w:val="32"/>
        </w:rPr>
      </w:pPr>
      <w:bookmarkStart w:id="0" w:name="_Hlk201583428"/>
      <w:r w:rsidRPr="00B64820">
        <w:rPr>
          <w:rFonts w:ascii="Times New Roman" w:hAnsi="Times New Roman" w:cs="Times New Roman"/>
          <w:color w:val="auto"/>
          <w:sz w:val="32"/>
          <w:szCs w:val="32"/>
        </w:rPr>
        <w:t>Initial</w:t>
      </w:r>
      <w:r w:rsidR="005A7A10" w:rsidRPr="00B64820">
        <w:rPr>
          <w:rFonts w:ascii="Times New Roman" w:hAnsi="Times New Roman" w:cs="Times New Roman"/>
          <w:color w:val="auto"/>
          <w:sz w:val="32"/>
          <w:szCs w:val="32"/>
        </w:rPr>
        <w:t xml:space="preserve"> </w:t>
      </w:r>
      <w:r w:rsidR="00BF10FE" w:rsidRPr="00B64820">
        <w:rPr>
          <w:rFonts w:ascii="Times New Roman" w:hAnsi="Times New Roman" w:cs="Times New Roman"/>
          <w:color w:val="auto"/>
          <w:sz w:val="32"/>
          <w:szCs w:val="32"/>
        </w:rPr>
        <w:t>Client Submission Data Pack</w:t>
      </w:r>
      <w:r w:rsidR="005A7A10" w:rsidRPr="00B64820">
        <w:rPr>
          <w:rFonts w:ascii="Times New Roman" w:hAnsi="Times New Roman" w:cs="Times New Roman"/>
          <w:color w:val="auto"/>
          <w:sz w:val="32"/>
          <w:szCs w:val="32"/>
        </w:rPr>
        <w:t xml:space="preserve"> —</w:t>
      </w:r>
      <w:r w:rsidR="00C31823" w:rsidRPr="00B64820">
        <w:rPr>
          <w:rFonts w:ascii="Times New Roman" w:hAnsi="Times New Roman" w:cs="Times New Roman"/>
          <w:color w:val="auto"/>
          <w:sz w:val="32"/>
          <w:szCs w:val="32"/>
        </w:rPr>
        <w:t xml:space="preserve"> Specific Project Overview</w:t>
      </w:r>
      <w:r w:rsidR="005A7A10" w:rsidRPr="00B64820">
        <w:rPr>
          <w:rFonts w:ascii="Times New Roman" w:hAnsi="Times New Roman" w:cs="Times New Roman"/>
          <w:color w:val="auto"/>
          <w:sz w:val="32"/>
          <w:szCs w:val="32"/>
        </w:rPr>
        <w:t xml:space="preserve"> Institutional Grade</w:t>
      </w:r>
      <w:r w:rsidRPr="00B64820">
        <w:rPr>
          <w:rFonts w:ascii="Times New Roman" w:hAnsi="Times New Roman" w:cs="Times New Roman"/>
          <w:color w:val="auto"/>
          <w:sz w:val="32"/>
          <w:szCs w:val="32"/>
        </w:rPr>
        <w:t xml:space="preserve"> Phase 1.</w:t>
      </w:r>
      <w:r w:rsidR="005A7A10" w:rsidRPr="00B64820">
        <w:rPr>
          <w:rFonts w:ascii="Times New Roman" w:hAnsi="Times New Roman" w:cs="Times New Roman"/>
          <w:color w:val="auto"/>
          <w:sz w:val="32"/>
          <w:szCs w:val="32"/>
        </w:rPr>
        <w:t xml:space="preserve"> </w:t>
      </w:r>
    </w:p>
    <w:bookmarkEnd w:id="0"/>
    <w:p w14:paraId="77656BDD" w14:textId="77777777" w:rsidR="00C31823" w:rsidRPr="00B64820" w:rsidRDefault="00C31823" w:rsidP="00C31823">
      <w:pPr>
        <w:rPr>
          <w:rFonts w:ascii="Times New Roman" w:hAnsi="Times New Roman" w:cs="Times New Roman"/>
          <w:sz w:val="32"/>
          <w:szCs w:val="32"/>
        </w:rPr>
      </w:pPr>
    </w:p>
    <w:p w14:paraId="244116FA" w14:textId="71FD54DC" w:rsidR="005A7A10" w:rsidRPr="00B64820" w:rsidRDefault="005A7A10" w:rsidP="005A7A10">
      <w:pPr>
        <w:rPr>
          <w:rFonts w:ascii="Times New Roman" w:hAnsi="Times New Roman" w:cs="Times New Roman"/>
          <w:sz w:val="32"/>
          <w:szCs w:val="32"/>
        </w:rPr>
      </w:pPr>
      <w:r w:rsidRPr="00B64820">
        <w:rPr>
          <w:rFonts w:ascii="Times New Roman" w:hAnsi="Times New Roman" w:cs="Times New Roman"/>
          <w:sz w:val="32"/>
          <w:szCs w:val="32"/>
        </w:rPr>
        <w:t xml:space="preserve">This fully integrated technical due diligence document is designed to collect comprehensive information on </w:t>
      </w:r>
      <w:r w:rsidR="004E7A95" w:rsidRPr="00B64820">
        <w:rPr>
          <w:rFonts w:ascii="Times New Roman" w:hAnsi="Times New Roman" w:cs="Times New Roman"/>
          <w:sz w:val="32"/>
          <w:szCs w:val="32"/>
        </w:rPr>
        <w:t>a specific</w:t>
      </w:r>
      <w:r w:rsidRPr="00B64820">
        <w:rPr>
          <w:rFonts w:ascii="Times New Roman" w:hAnsi="Times New Roman" w:cs="Times New Roman"/>
          <w:sz w:val="32"/>
          <w:szCs w:val="32"/>
        </w:rPr>
        <w:t xml:space="preserve"> </w:t>
      </w:r>
      <w:r w:rsidR="0091634E">
        <w:rPr>
          <w:rFonts w:ascii="Times New Roman" w:hAnsi="Times New Roman" w:cs="Times New Roman"/>
          <w:b/>
          <w:bCs/>
          <w:sz w:val="32"/>
          <w:szCs w:val="32"/>
        </w:rPr>
        <w:t>DARK DATA COMPANY LTD</w:t>
      </w:r>
      <w:r w:rsidRPr="00B64820">
        <w:rPr>
          <w:rFonts w:ascii="Times New Roman" w:hAnsi="Times New Roman" w:cs="Times New Roman"/>
          <w:b/>
          <w:bCs/>
          <w:sz w:val="32"/>
          <w:szCs w:val="32"/>
        </w:rPr>
        <w:t xml:space="preserve"> </w:t>
      </w:r>
      <w:r w:rsidRPr="00B64820">
        <w:rPr>
          <w:rFonts w:ascii="Times New Roman" w:hAnsi="Times New Roman" w:cs="Times New Roman"/>
          <w:sz w:val="32"/>
          <w:szCs w:val="32"/>
        </w:rPr>
        <w:t xml:space="preserve">project. It ensures that </w:t>
      </w:r>
      <w:r w:rsidR="004E7A95" w:rsidRPr="00B64820">
        <w:rPr>
          <w:rFonts w:ascii="Times New Roman" w:hAnsi="Times New Roman" w:cs="Times New Roman"/>
          <w:sz w:val="32"/>
          <w:szCs w:val="32"/>
        </w:rPr>
        <w:t>the</w:t>
      </w:r>
      <w:r w:rsidRPr="00B64820">
        <w:rPr>
          <w:rFonts w:ascii="Times New Roman" w:hAnsi="Times New Roman" w:cs="Times New Roman"/>
          <w:sz w:val="32"/>
          <w:szCs w:val="32"/>
        </w:rPr>
        <w:t xml:space="preserve"> project is fully documented from inception, allowing efficient institutional-grade capital market financing, insurability, long-term operational management, and future securitization execution.</w:t>
      </w:r>
      <w:r w:rsidRPr="00B64820">
        <w:rPr>
          <w:rFonts w:ascii="Times New Roman" w:hAnsi="Times New Roman" w:cs="Times New Roman"/>
          <w:sz w:val="32"/>
          <w:szCs w:val="32"/>
        </w:rPr>
        <w:br/>
      </w:r>
      <w:r w:rsidRPr="00B64820">
        <w:rPr>
          <w:rFonts w:ascii="Times New Roman" w:hAnsi="Times New Roman" w:cs="Times New Roman"/>
          <w:sz w:val="32"/>
          <w:szCs w:val="32"/>
        </w:rPr>
        <w:br/>
        <w:t xml:space="preserve">This template </w:t>
      </w:r>
      <w:r w:rsidR="004E7A95" w:rsidRPr="00B64820">
        <w:rPr>
          <w:rFonts w:ascii="Times New Roman" w:hAnsi="Times New Roman" w:cs="Times New Roman"/>
          <w:sz w:val="32"/>
          <w:szCs w:val="32"/>
        </w:rPr>
        <w:t>is to be applied to all</w:t>
      </w:r>
      <w:r w:rsidRPr="00B64820">
        <w:rPr>
          <w:rFonts w:ascii="Times New Roman" w:hAnsi="Times New Roman" w:cs="Times New Roman"/>
          <w:sz w:val="32"/>
          <w:szCs w:val="32"/>
        </w:rPr>
        <w:t xml:space="preserve"> </w:t>
      </w:r>
      <w:r w:rsidR="0091634E">
        <w:rPr>
          <w:rFonts w:ascii="Times New Roman" w:hAnsi="Times New Roman" w:cs="Times New Roman"/>
          <w:b/>
          <w:bCs/>
          <w:sz w:val="32"/>
          <w:szCs w:val="32"/>
        </w:rPr>
        <w:t>DARK DATA COMPANY LTD</w:t>
      </w:r>
      <w:r w:rsidRPr="00B64820">
        <w:rPr>
          <w:rFonts w:ascii="Times New Roman" w:hAnsi="Times New Roman" w:cs="Times New Roman"/>
          <w:sz w:val="32"/>
          <w:szCs w:val="32"/>
        </w:rPr>
        <w:t xml:space="preserve"> projects globally, including </w:t>
      </w:r>
      <w:r w:rsidR="004E7A95" w:rsidRPr="00B64820">
        <w:rPr>
          <w:rFonts w:ascii="Times New Roman" w:hAnsi="Times New Roman" w:cs="Times New Roman"/>
          <w:sz w:val="32"/>
          <w:szCs w:val="32"/>
        </w:rPr>
        <w:t xml:space="preserve">all </w:t>
      </w:r>
      <w:r w:rsidRPr="00B64820">
        <w:rPr>
          <w:rFonts w:ascii="Times New Roman" w:hAnsi="Times New Roman" w:cs="Times New Roman"/>
          <w:sz w:val="32"/>
          <w:szCs w:val="32"/>
        </w:rPr>
        <w:t>future assets.</w:t>
      </w:r>
    </w:p>
    <w:p w14:paraId="4FC09EFF" w14:textId="77777777" w:rsidR="00F31B71" w:rsidRPr="00B64820" w:rsidRDefault="00F31B71" w:rsidP="005A7A10">
      <w:pPr>
        <w:rPr>
          <w:rFonts w:ascii="Times New Roman" w:hAnsi="Times New Roman" w:cs="Times New Roman"/>
          <w:sz w:val="32"/>
          <w:szCs w:val="32"/>
        </w:rPr>
      </w:pPr>
    </w:p>
    <w:p w14:paraId="469A703C" w14:textId="77777777" w:rsidR="00F31B71" w:rsidRPr="00B64820" w:rsidRDefault="00F31B71" w:rsidP="005A7A10">
      <w:pPr>
        <w:rPr>
          <w:rFonts w:ascii="Times New Roman" w:hAnsi="Times New Roman" w:cs="Times New Roman"/>
          <w:sz w:val="32"/>
          <w:szCs w:val="32"/>
        </w:rPr>
      </w:pPr>
    </w:p>
    <w:p w14:paraId="515612CD" w14:textId="77777777" w:rsidR="00F31B71" w:rsidRPr="00B64820" w:rsidRDefault="00F31B71" w:rsidP="005A7A10">
      <w:pPr>
        <w:rPr>
          <w:rFonts w:ascii="Times New Roman" w:hAnsi="Times New Roman" w:cs="Times New Roman"/>
          <w:sz w:val="32"/>
          <w:szCs w:val="32"/>
        </w:rPr>
      </w:pPr>
    </w:p>
    <w:p w14:paraId="46128AC5" w14:textId="77777777" w:rsidR="00F31B71" w:rsidRPr="00B64820" w:rsidRDefault="00F31B71" w:rsidP="005A7A10">
      <w:pPr>
        <w:rPr>
          <w:rFonts w:ascii="Times New Roman" w:hAnsi="Times New Roman" w:cs="Times New Roman"/>
          <w:sz w:val="32"/>
          <w:szCs w:val="32"/>
        </w:rPr>
      </w:pPr>
    </w:p>
    <w:p w14:paraId="6FD72FC2" w14:textId="77777777" w:rsidR="00F31B71" w:rsidRPr="00B64820" w:rsidRDefault="00F31B71" w:rsidP="005A7A10">
      <w:pPr>
        <w:rPr>
          <w:rFonts w:ascii="Times New Roman" w:hAnsi="Times New Roman" w:cs="Times New Roman"/>
          <w:sz w:val="32"/>
          <w:szCs w:val="32"/>
        </w:rPr>
      </w:pPr>
    </w:p>
    <w:p w14:paraId="759D2325" w14:textId="77777777" w:rsidR="00F31B71" w:rsidRPr="00B64820" w:rsidRDefault="00F31B71" w:rsidP="005A7A10">
      <w:pPr>
        <w:rPr>
          <w:rFonts w:ascii="Times New Roman" w:hAnsi="Times New Roman" w:cs="Times New Roman"/>
          <w:sz w:val="32"/>
          <w:szCs w:val="32"/>
        </w:rPr>
      </w:pPr>
    </w:p>
    <w:p w14:paraId="2A765D35" w14:textId="77777777" w:rsidR="00F31B71" w:rsidRPr="00B64820" w:rsidRDefault="00F31B71" w:rsidP="005A7A10">
      <w:pPr>
        <w:rPr>
          <w:rFonts w:ascii="Times New Roman" w:hAnsi="Times New Roman" w:cs="Times New Roman"/>
          <w:sz w:val="32"/>
          <w:szCs w:val="32"/>
        </w:rPr>
      </w:pPr>
    </w:p>
    <w:p w14:paraId="109B539E" w14:textId="77777777" w:rsidR="00F31B71" w:rsidRPr="00B64820" w:rsidRDefault="00F31B71" w:rsidP="005A7A10">
      <w:pPr>
        <w:rPr>
          <w:rFonts w:ascii="Times New Roman" w:hAnsi="Times New Roman" w:cs="Times New Roman"/>
          <w:sz w:val="32"/>
          <w:szCs w:val="32"/>
        </w:rPr>
      </w:pPr>
    </w:p>
    <w:p w14:paraId="5A8EA2EB" w14:textId="77777777" w:rsidR="00ED7933" w:rsidRPr="00B64820" w:rsidRDefault="00ED7933" w:rsidP="005A7A10">
      <w:pPr>
        <w:rPr>
          <w:rFonts w:ascii="Times New Roman" w:hAnsi="Times New Roman" w:cs="Times New Roman"/>
          <w:sz w:val="32"/>
          <w:szCs w:val="32"/>
        </w:rPr>
      </w:pPr>
    </w:p>
    <w:p w14:paraId="543B39F6" w14:textId="70DC5548" w:rsidR="005A7A10" w:rsidRPr="00B64820" w:rsidRDefault="005A7A10" w:rsidP="005A7A10">
      <w:pPr>
        <w:rPr>
          <w:rFonts w:ascii="Times New Roman" w:eastAsiaTheme="majorEastAsia" w:hAnsi="Times New Roman" w:cs="Times New Roman"/>
          <w:b/>
          <w:bCs/>
          <w:sz w:val="32"/>
          <w:szCs w:val="32"/>
          <w:lang w:val="en-GB"/>
        </w:rPr>
      </w:pPr>
      <w:r w:rsidRPr="00B64820">
        <w:rPr>
          <w:rFonts w:ascii="Times New Roman" w:eastAsiaTheme="majorEastAsia" w:hAnsi="Times New Roman" w:cs="Times New Roman"/>
          <w:b/>
          <w:bCs/>
          <w:sz w:val="32"/>
          <w:szCs w:val="32"/>
          <w:lang w:val="en-GB"/>
        </w:rPr>
        <w:t>Confidential Information Notice</w:t>
      </w:r>
    </w:p>
    <w:p w14:paraId="2E418951" w14:textId="77777777" w:rsidR="00857F0F" w:rsidRPr="00B64820" w:rsidRDefault="00857F0F" w:rsidP="00857F0F">
      <w:pPr>
        <w:rPr>
          <w:rFonts w:ascii="Times New Roman" w:eastAsiaTheme="majorEastAsia" w:hAnsi="Times New Roman" w:cs="Times New Roman"/>
          <w:b/>
          <w:bCs/>
          <w:sz w:val="32"/>
          <w:szCs w:val="32"/>
          <w:lang w:val="en-GB"/>
        </w:rPr>
      </w:pPr>
      <w:r w:rsidRPr="00B64820">
        <w:rPr>
          <w:rFonts w:ascii="Times New Roman" w:eastAsiaTheme="majorEastAsia" w:hAnsi="Times New Roman" w:cs="Times New Roman"/>
          <w:b/>
          <w:bCs/>
          <w:sz w:val="32"/>
          <w:szCs w:val="32"/>
          <w:lang w:val="en-GB"/>
        </w:rPr>
        <w:lastRenderedPageBreak/>
        <w:t>STRICTLY CONFIDENTIAL — CONTROLLED DUE DILIGENCE DOCUMENT</w:t>
      </w:r>
    </w:p>
    <w:p w14:paraId="233DBD9F" w14:textId="7E0FE582" w:rsidR="00857F0F" w:rsidRPr="00B64820" w:rsidRDefault="00857F0F" w:rsidP="00857F0F">
      <w:pPr>
        <w:rPr>
          <w:rFonts w:ascii="Times New Roman" w:eastAsiaTheme="majorEastAsia" w:hAnsi="Times New Roman" w:cs="Times New Roman"/>
          <w:sz w:val="32"/>
          <w:szCs w:val="32"/>
          <w:lang w:val="en-GB"/>
        </w:rPr>
      </w:pPr>
      <w:r w:rsidRPr="00B64820">
        <w:rPr>
          <w:rFonts w:ascii="Times New Roman" w:eastAsiaTheme="majorEastAsia" w:hAnsi="Times New Roman" w:cs="Times New Roman"/>
          <w:sz w:val="32"/>
          <w:szCs w:val="32"/>
          <w:lang w:val="en-GB"/>
        </w:rPr>
        <w:t xml:space="preserve">This document has been prepared by Red AMC and TBC (“Diligence Coordinators”) for use by </w:t>
      </w:r>
      <w:r w:rsidR="0091634E">
        <w:rPr>
          <w:rFonts w:ascii="Times New Roman" w:eastAsiaTheme="majorEastAsia" w:hAnsi="Times New Roman" w:cs="Times New Roman"/>
          <w:sz w:val="32"/>
          <w:szCs w:val="32"/>
          <w:lang w:val="en-GB"/>
        </w:rPr>
        <w:t>DARK DATA COMPANY LTD</w:t>
      </w:r>
      <w:r w:rsidRPr="00B64820">
        <w:rPr>
          <w:rFonts w:ascii="Times New Roman" w:eastAsiaTheme="majorEastAsia" w:hAnsi="Times New Roman" w:cs="Times New Roman"/>
          <w:sz w:val="32"/>
          <w:szCs w:val="32"/>
          <w:lang w:val="en-GB"/>
        </w:rPr>
        <w:t xml:space="preserve"> (“Project Sponsor Client”) solely in connection with the structured data collection and technical diligence processes managed by Red AMC and TBC for project evaluation, institutional risk assessment, transaction preparation, and long-term development documentation.</w:t>
      </w:r>
    </w:p>
    <w:p w14:paraId="12A04465" w14:textId="33FF2A74" w:rsidR="00857F0F" w:rsidRPr="00B64820" w:rsidRDefault="00857F0F" w:rsidP="00857F0F">
      <w:pPr>
        <w:rPr>
          <w:rFonts w:ascii="Times New Roman" w:eastAsiaTheme="majorEastAsia" w:hAnsi="Times New Roman" w:cs="Times New Roman"/>
          <w:sz w:val="32"/>
          <w:szCs w:val="32"/>
          <w:lang w:val="en-GB"/>
        </w:rPr>
      </w:pPr>
      <w:r w:rsidRPr="00B64820">
        <w:rPr>
          <w:rFonts w:ascii="Times New Roman" w:eastAsiaTheme="majorEastAsia" w:hAnsi="Times New Roman" w:cs="Times New Roman"/>
          <w:sz w:val="32"/>
          <w:szCs w:val="32"/>
          <w:lang w:val="en-GB"/>
        </w:rPr>
        <w:t xml:space="preserve">All content contained herein is provided for internal due diligence purposes only. This document remains the exclusive intellectual property of Red AMC and TBC. </w:t>
      </w:r>
      <w:r w:rsidR="0091634E">
        <w:rPr>
          <w:rFonts w:ascii="Times New Roman" w:eastAsiaTheme="majorEastAsia" w:hAnsi="Times New Roman" w:cs="Times New Roman"/>
          <w:sz w:val="32"/>
          <w:szCs w:val="32"/>
          <w:lang w:val="en-GB"/>
        </w:rPr>
        <w:t>DARK DATA COMPANY LTD</w:t>
      </w:r>
      <w:r w:rsidRPr="00B64820">
        <w:rPr>
          <w:rFonts w:ascii="Times New Roman" w:eastAsiaTheme="majorEastAsia" w:hAnsi="Times New Roman" w:cs="Times New Roman"/>
          <w:sz w:val="32"/>
          <w:szCs w:val="32"/>
          <w:lang w:val="en-GB"/>
        </w:rPr>
        <w:t xml:space="preserve"> is authorised solely to submit requested information into this document for internal assessment. </w:t>
      </w:r>
      <w:r w:rsidR="0091634E">
        <w:rPr>
          <w:rFonts w:ascii="Times New Roman" w:eastAsiaTheme="majorEastAsia" w:hAnsi="Times New Roman" w:cs="Times New Roman"/>
          <w:sz w:val="32"/>
          <w:szCs w:val="32"/>
          <w:lang w:val="en-GB"/>
        </w:rPr>
        <w:t>DARK DATA COMPANY LTD</w:t>
      </w:r>
      <w:r w:rsidRPr="00B64820">
        <w:rPr>
          <w:rFonts w:ascii="Times New Roman" w:eastAsiaTheme="majorEastAsia" w:hAnsi="Times New Roman" w:cs="Times New Roman"/>
          <w:sz w:val="32"/>
          <w:szCs w:val="32"/>
          <w:lang w:val="en-GB"/>
        </w:rPr>
        <w:t xml:space="preserve"> and its affiliates are not authorised to distribute, circulate, reproduce, modify, or utilise this document in any external context, nor shall it form part of any external financing or transaction documentation unless specifically authorised in writing.</w:t>
      </w:r>
    </w:p>
    <w:p w14:paraId="296CA30C" w14:textId="77777777" w:rsidR="00857F0F" w:rsidRPr="00B64820" w:rsidRDefault="00857F0F" w:rsidP="00857F0F">
      <w:pPr>
        <w:rPr>
          <w:rFonts w:ascii="Times New Roman" w:eastAsiaTheme="majorEastAsia" w:hAnsi="Times New Roman" w:cs="Times New Roman"/>
          <w:sz w:val="32"/>
          <w:szCs w:val="32"/>
          <w:lang w:val="en-GB"/>
        </w:rPr>
      </w:pPr>
      <w:r w:rsidRPr="00B64820">
        <w:rPr>
          <w:rFonts w:ascii="Times New Roman" w:eastAsiaTheme="majorEastAsia" w:hAnsi="Times New Roman" w:cs="Times New Roman"/>
          <w:sz w:val="32"/>
          <w:szCs w:val="32"/>
          <w:lang w:val="en-GB"/>
        </w:rPr>
        <w:t>This document does not constitute any offer of securities, investment solicitation, financing commitment, or legal obligation of any kind. All information collected remains subject to formal legal due diligence, verification, and fully executed legal documentation prior to any binding contractual arrangements.</w:t>
      </w:r>
    </w:p>
    <w:p w14:paraId="76557EE4" w14:textId="2D0D091C" w:rsidR="004E7A95" w:rsidRPr="00B64820" w:rsidRDefault="00051035" w:rsidP="00420E31">
      <w:pPr>
        <w:rPr>
          <w:rFonts w:ascii="Times New Roman" w:eastAsiaTheme="majorEastAsia" w:hAnsi="Times New Roman" w:cs="Times New Roman"/>
          <w:sz w:val="32"/>
          <w:szCs w:val="32"/>
          <w:lang w:val="en-GB"/>
        </w:rPr>
      </w:pPr>
      <w:r w:rsidRPr="00B64820">
        <w:rPr>
          <w:rFonts w:ascii="Times New Roman" w:eastAsiaTheme="majorEastAsia" w:hAnsi="Times New Roman" w:cs="Times New Roman"/>
          <w:b/>
          <w:bCs/>
          <w:sz w:val="32"/>
          <w:szCs w:val="32"/>
          <w:lang w:val="en-GB"/>
        </w:rPr>
        <w:t>Strictly Confidential — Controlled Use Only</w:t>
      </w:r>
    </w:p>
    <w:p w14:paraId="46D5C22D" w14:textId="1ED398F7" w:rsidR="005A7A10" w:rsidRPr="00B64820" w:rsidRDefault="005A7A10" w:rsidP="005A7A10">
      <w:pPr>
        <w:rPr>
          <w:rFonts w:ascii="Times New Roman" w:eastAsiaTheme="majorEastAsia" w:hAnsi="Times New Roman" w:cs="Times New Roman"/>
          <w:sz w:val="32"/>
          <w:szCs w:val="32"/>
          <w:lang w:val="en-GB"/>
        </w:rPr>
      </w:pPr>
      <w:r w:rsidRPr="00B64820">
        <w:rPr>
          <w:rFonts w:ascii="Times New Roman" w:eastAsiaTheme="majorEastAsia" w:hAnsi="Times New Roman" w:cs="Times New Roman"/>
          <w:b/>
          <w:bCs/>
          <w:sz w:val="32"/>
          <w:szCs w:val="32"/>
          <w:lang w:val="en-GB"/>
        </w:rPr>
        <w:t>This document is confidential. It shall not be used for any purpose other than for submission to Red AMC and TBC for institutional preparation.</w:t>
      </w:r>
    </w:p>
    <w:p w14:paraId="436FB559" w14:textId="4C691E07" w:rsidR="00F31B71" w:rsidRPr="00B64820" w:rsidRDefault="005A7A10" w:rsidP="005A7A10">
      <w:pPr>
        <w:pStyle w:val="Heading1"/>
        <w:rPr>
          <w:rFonts w:ascii="Times New Roman" w:hAnsi="Times New Roman" w:cs="Times New Roman"/>
          <w:color w:val="auto"/>
          <w:sz w:val="32"/>
          <w:szCs w:val="32"/>
          <w:lang w:val="en-GB"/>
        </w:rPr>
      </w:pPr>
      <w:r w:rsidRPr="00B64820">
        <w:rPr>
          <w:rFonts w:ascii="Times New Roman" w:hAnsi="Times New Roman" w:cs="Times New Roman"/>
          <w:color w:val="auto"/>
          <w:sz w:val="32"/>
          <w:szCs w:val="32"/>
          <w:lang w:val="en-GB"/>
        </w:rPr>
        <w:lastRenderedPageBreak/>
        <w:t>Document Access Control Register</w:t>
      </w:r>
      <w:r w:rsidR="00F31B71" w:rsidRPr="00B64820">
        <w:rPr>
          <w:rFonts w:ascii="Times New Roman" w:hAnsi="Times New Roman" w:cs="Times New Roman"/>
          <w:color w:val="auto"/>
          <w:sz w:val="32"/>
          <w:szCs w:val="32"/>
          <w:lang w:val="en-GB"/>
        </w:rPr>
        <w:t>:</w:t>
      </w:r>
    </w:p>
    <w:p w14:paraId="04339FBC" w14:textId="7B9E75E6" w:rsidR="005A7A10" w:rsidRPr="00B64820" w:rsidRDefault="005A7A10" w:rsidP="005A7A10">
      <w:pPr>
        <w:pStyle w:val="Heading1"/>
        <w:rPr>
          <w:rFonts w:ascii="Times New Roman" w:hAnsi="Times New Roman" w:cs="Times New Roman"/>
          <w:color w:val="auto"/>
          <w:sz w:val="32"/>
          <w:szCs w:val="32"/>
          <w:lang w:val="en-GB"/>
        </w:rPr>
      </w:pPr>
      <w:r w:rsidRPr="00B64820">
        <w:rPr>
          <w:rFonts w:ascii="Times New Roman" w:hAnsi="Times New Roman" w:cs="Times New Roman"/>
          <w:b w:val="0"/>
          <w:bCs w:val="0"/>
          <w:color w:val="auto"/>
          <w:sz w:val="32"/>
          <w:szCs w:val="32"/>
          <w:lang w:val="en-GB"/>
        </w:rPr>
        <w:t>The circulation of this document is restricted to the following authorised individuals as of 23/06/2025</w:t>
      </w:r>
      <w:r w:rsidR="00F31B71" w:rsidRPr="00B64820">
        <w:rPr>
          <w:rFonts w:ascii="Times New Roman" w:hAnsi="Times New Roman" w:cs="Times New Roman"/>
          <w:b w:val="0"/>
          <w:bCs w:val="0"/>
          <w:color w:val="auto"/>
          <w:sz w:val="32"/>
          <w:szCs w:val="32"/>
          <w:lang w:val="en-GB"/>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gridCol w:w="2120"/>
        <w:gridCol w:w="4062"/>
      </w:tblGrid>
      <w:tr w:rsidR="005A7A10" w:rsidRPr="00B64820" w14:paraId="1BDD68EB" w14:textId="77777777" w:rsidTr="006A5E3B">
        <w:trPr>
          <w:tblHeader/>
          <w:tblCellSpacing w:w="15" w:type="dxa"/>
        </w:trPr>
        <w:tc>
          <w:tcPr>
            <w:tcW w:w="2420" w:type="dxa"/>
            <w:tcBorders>
              <w:top w:val="single" w:sz="4" w:space="0" w:color="auto"/>
              <w:left w:val="single" w:sz="4" w:space="0" w:color="auto"/>
            </w:tcBorders>
            <w:vAlign w:val="center"/>
            <w:hideMark/>
          </w:tcPr>
          <w:p w14:paraId="4B83B44E" w14:textId="77777777" w:rsidR="005A7A10" w:rsidRPr="00B64820" w:rsidRDefault="005A7A10" w:rsidP="006A5E3B">
            <w:pPr>
              <w:pStyle w:val="Heading1"/>
              <w:rPr>
                <w:rFonts w:ascii="Times New Roman" w:hAnsi="Times New Roman" w:cs="Times New Roman"/>
                <w:color w:val="auto"/>
                <w:sz w:val="32"/>
                <w:szCs w:val="32"/>
                <w:u w:val="single"/>
                <w:lang w:val="en-GB"/>
              </w:rPr>
            </w:pPr>
            <w:r w:rsidRPr="00B64820">
              <w:rPr>
                <w:rFonts w:ascii="Times New Roman" w:hAnsi="Times New Roman" w:cs="Times New Roman"/>
                <w:color w:val="auto"/>
                <w:sz w:val="32"/>
                <w:szCs w:val="32"/>
                <w:u w:val="single"/>
                <w:lang w:val="en-GB"/>
              </w:rPr>
              <w:t>Name</w:t>
            </w:r>
          </w:p>
        </w:tc>
        <w:tc>
          <w:tcPr>
            <w:tcW w:w="2096" w:type="dxa"/>
            <w:tcBorders>
              <w:top w:val="single" w:sz="4" w:space="0" w:color="auto"/>
            </w:tcBorders>
            <w:vAlign w:val="center"/>
            <w:hideMark/>
          </w:tcPr>
          <w:p w14:paraId="16A8F958" w14:textId="77777777" w:rsidR="005A7A10" w:rsidRPr="00B64820" w:rsidRDefault="005A7A10" w:rsidP="006A5E3B">
            <w:pPr>
              <w:pStyle w:val="Heading1"/>
              <w:rPr>
                <w:rFonts w:ascii="Times New Roman" w:hAnsi="Times New Roman" w:cs="Times New Roman"/>
                <w:color w:val="auto"/>
                <w:sz w:val="32"/>
                <w:szCs w:val="32"/>
                <w:u w:val="single"/>
                <w:lang w:val="en-GB"/>
              </w:rPr>
            </w:pPr>
            <w:r w:rsidRPr="00B64820">
              <w:rPr>
                <w:rFonts w:ascii="Times New Roman" w:hAnsi="Times New Roman" w:cs="Times New Roman"/>
                <w:color w:val="auto"/>
                <w:sz w:val="32"/>
                <w:szCs w:val="32"/>
                <w:u w:val="single"/>
                <w:lang w:val="en-GB"/>
              </w:rPr>
              <w:t>Organisation</w:t>
            </w:r>
          </w:p>
        </w:tc>
        <w:tc>
          <w:tcPr>
            <w:tcW w:w="4066" w:type="dxa"/>
            <w:tcBorders>
              <w:top w:val="single" w:sz="4" w:space="0" w:color="auto"/>
              <w:right w:val="single" w:sz="4" w:space="0" w:color="auto"/>
            </w:tcBorders>
            <w:vAlign w:val="center"/>
            <w:hideMark/>
          </w:tcPr>
          <w:p w14:paraId="6B7252BF" w14:textId="77777777" w:rsidR="005A7A10" w:rsidRPr="00B64820" w:rsidRDefault="005A7A10" w:rsidP="006A5E3B">
            <w:pPr>
              <w:pStyle w:val="Heading1"/>
              <w:rPr>
                <w:rFonts w:ascii="Times New Roman" w:hAnsi="Times New Roman" w:cs="Times New Roman"/>
                <w:color w:val="auto"/>
                <w:sz w:val="32"/>
                <w:szCs w:val="32"/>
                <w:u w:val="single"/>
                <w:lang w:val="en-GB"/>
              </w:rPr>
            </w:pPr>
            <w:r w:rsidRPr="00B64820">
              <w:rPr>
                <w:rFonts w:ascii="Times New Roman" w:hAnsi="Times New Roman" w:cs="Times New Roman"/>
                <w:color w:val="auto"/>
                <w:sz w:val="32"/>
                <w:szCs w:val="32"/>
                <w:u w:val="single"/>
                <w:lang w:val="en-GB"/>
              </w:rPr>
              <w:t>Role</w:t>
            </w:r>
          </w:p>
        </w:tc>
      </w:tr>
      <w:tr w:rsidR="005A7A10" w:rsidRPr="00B64820" w14:paraId="66E4520F" w14:textId="77777777" w:rsidTr="006A5E3B">
        <w:trPr>
          <w:tblCellSpacing w:w="15" w:type="dxa"/>
        </w:trPr>
        <w:tc>
          <w:tcPr>
            <w:tcW w:w="2420" w:type="dxa"/>
            <w:tcBorders>
              <w:top w:val="single" w:sz="4" w:space="0" w:color="auto"/>
              <w:left w:val="single" w:sz="4" w:space="0" w:color="auto"/>
              <w:bottom w:val="single" w:sz="4" w:space="0" w:color="auto"/>
              <w:right w:val="single" w:sz="4" w:space="0" w:color="auto"/>
            </w:tcBorders>
            <w:vAlign w:val="center"/>
            <w:hideMark/>
          </w:tcPr>
          <w:p w14:paraId="180EB8D8" w14:textId="77777777" w:rsidR="005A7A10" w:rsidRPr="00B64820" w:rsidRDefault="005A7A10" w:rsidP="006A5E3B">
            <w:pPr>
              <w:pStyle w:val="Heading1"/>
              <w:rPr>
                <w:rFonts w:ascii="Times New Roman" w:hAnsi="Times New Roman" w:cs="Times New Roman"/>
                <w:color w:val="auto"/>
                <w:sz w:val="32"/>
                <w:szCs w:val="32"/>
                <w:lang w:val="en-GB"/>
              </w:rPr>
            </w:pPr>
            <w:r w:rsidRPr="00B64820">
              <w:rPr>
                <w:rFonts w:ascii="Times New Roman" w:hAnsi="Times New Roman" w:cs="Times New Roman"/>
                <w:color w:val="auto"/>
                <w:sz w:val="32"/>
                <w:szCs w:val="32"/>
                <w:lang w:val="en-GB"/>
              </w:rPr>
              <w:t>Marcus Moore</w:t>
            </w:r>
          </w:p>
        </w:tc>
        <w:tc>
          <w:tcPr>
            <w:tcW w:w="2096" w:type="dxa"/>
            <w:tcBorders>
              <w:top w:val="single" w:sz="4" w:space="0" w:color="auto"/>
              <w:left w:val="single" w:sz="4" w:space="0" w:color="auto"/>
              <w:bottom w:val="single" w:sz="4" w:space="0" w:color="auto"/>
              <w:right w:val="single" w:sz="4" w:space="0" w:color="auto"/>
            </w:tcBorders>
            <w:vAlign w:val="center"/>
            <w:hideMark/>
          </w:tcPr>
          <w:p w14:paraId="07D5F629" w14:textId="77777777" w:rsidR="005A7A10" w:rsidRPr="00B64820" w:rsidRDefault="005A7A10" w:rsidP="006A5E3B">
            <w:pPr>
              <w:pStyle w:val="Heading1"/>
              <w:rPr>
                <w:rFonts w:ascii="Times New Roman" w:hAnsi="Times New Roman" w:cs="Times New Roman"/>
                <w:color w:val="auto"/>
                <w:sz w:val="32"/>
                <w:szCs w:val="32"/>
                <w:lang w:val="en-GB"/>
              </w:rPr>
            </w:pPr>
            <w:r w:rsidRPr="00B64820">
              <w:rPr>
                <w:rFonts w:ascii="Times New Roman" w:hAnsi="Times New Roman" w:cs="Times New Roman"/>
                <w:color w:val="auto"/>
                <w:sz w:val="32"/>
                <w:szCs w:val="32"/>
                <w:lang w:val="en-GB"/>
              </w:rPr>
              <w:t>TBC</w:t>
            </w:r>
          </w:p>
        </w:tc>
        <w:tc>
          <w:tcPr>
            <w:tcW w:w="4066" w:type="dxa"/>
            <w:tcBorders>
              <w:top w:val="single" w:sz="4" w:space="0" w:color="auto"/>
              <w:left w:val="single" w:sz="4" w:space="0" w:color="auto"/>
              <w:bottom w:val="single" w:sz="4" w:space="0" w:color="auto"/>
              <w:right w:val="single" w:sz="4" w:space="0" w:color="auto"/>
            </w:tcBorders>
            <w:vAlign w:val="center"/>
            <w:hideMark/>
          </w:tcPr>
          <w:p w14:paraId="36514582" w14:textId="1701F0C6" w:rsidR="005A7A10" w:rsidRPr="00B64820" w:rsidRDefault="005A7A10" w:rsidP="006A5E3B">
            <w:pPr>
              <w:pStyle w:val="Heading1"/>
              <w:rPr>
                <w:rFonts w:ascii="Times New Roman" w:hAnsi="Times New Roman" w:cs="Times New Roman"/>
                <w:color w:val="auto"/>
                <w:sz w:val="32"/>
                <w:szCs w:val="32"/>
                <w:lang w:val="en-GB"/>
              </w:rPr>
            </w:pPr>
            <w:r w:rsidRPr="00B64820">
              <w:rPr>
                <w:rFonts w:ascii="Times New Roman" w:hAnsi="Times New Roman" w:cs="Times New Roman"/>
                <w:color w:val="auto"/>
                <w:sz w:val="32"/>
                <w:szCs w:val="32"/>
                <w:lang w:val="en-GB"/>
              </w:rPr>
              <w:t>Institutional Lead</w:t>
            </w:r>
          </w:p>
        </w:tc>
      </w:tr>
      <w:tr w:rsidR="005A7A10" w:rsidRPr="00B64820" w14:paraId="7EBBDA0D" w14:textId="77777777" w:rsidTr="006A5E3B">
        <w:trPr>
          <w:tblCellSpacing w:w="15" w:type="dxa"/>
        </w:trPr>
        <w:tc>
          <w:tcPr>
            <w:tcW w:w="2420" w:type="dxa"/>
            <w:tcBorders>
              <w:top w:val="single" w:sz="4" w:space="0" w:color="auto"/>
              <w:left w:val="single" w:sz="4" w:space="0" w:color="auto"/>
              <w:bottom w:val="single" w:sz="4" w:space="0" w:color="auto"/>
              <w:right w:val="single" w:sz="4" w:space="0" w:color="auto"/>
            </w:tcBorders>
            <w:vAlign w:val="center"/>
            <w:hideMark/>
          </w:tcPr>
          <w:p w14:paraId="602CEE60" w14:textId="77777777" w:rsidR="005A7A10" w:rsidRPr="00B64820" w:rsidRDefault="005A7A10" w:rsidP="006A5E3B">
            <w:pPr>
              <w:pStyle w:val="Heading1"/>
              <w:rPr>
                <w:rFonts w:ascii="Times New Roman" w:hAnsi="Times New Roman" w:cs="Times New Roman"/>
                <w:color w:val="auto"/>
                <w:sz w:val="32"/>
                <w:szCs w:val="32"/>
                <w:lang w:val="en-GB"/>
              </w:rPr>
            </w:pPr>
            <w:r w:rsidRPr="00B64820">
              <w:rPr>
                <w:rFonts w:ascii="Times New Roman" w:hAnsi="Times New Roman" w:cs="Times New Roman"/>
                <w:color w:val="auto"/>
                <w:sz w:val="32"/>
                <w:szCs w:val="32"/>
                <w:lang w:val="en-GB"/>
              </w:rPr>
              <w:t>Xavier Adams</w:t>
            </w:r>
          </w:p>
        </w:tc>
        <w:tc>
          <w:tcPr>
            <w:tcW w:w="2096" w:type="dxa"/>
            <w:tcBorders>
              <w:top w:val="single" w:sz="4" w:space="0" w:color="auto"/>
              <w:left w:val="single" w:sz="4" w:space="0" w:color="auto"/>
              <w:bottom w:val="single" w:sz="4" w:space="0" w:color="auto"/>
              <w:right w:val="single" w:sz="4" w:space="0" w:color="auto"/>
            </w:tcBorders>
            <w:vAlign w:val="center"/>
            <w:hideMark/>
          </w:tcPr>
          <w:p w14:paraId="36C1CC6A" w14:textId="77777777" w:rsidR="005A7A10" w:rsidRPr="00B64820" w:rsidRDefault="005A7A10" w:rsidP="006A5E3B">
            <w:pPr>
              <w:pStyle w:val="Heading1"/>
              <w:rPr>
                <w:rFonts w:ascii="Times New Roman" w:hAnsi="Times New Roman" w:cs="Times New Roman"/>
                <w:color w:val="auto"/>
                <w:sz w:val="32"/>
                <w:szCs w:val="32"/>
                <w:lang w:val="en-GB"/>
              </w:rPr>
            </w:pPr>
            <w:r w:rsidRPr="00B64820">
              <w:rPr>
                <w:rFonts w:ascii="Times New Roman" w:hAnsi="Times New Roman" w:cs="Times New Roman"/>
                <w:color w:val="auto"/>
                <w:sz w:val="32"/>
                <w:szCs w:val="32"/>
                <w:lang w:val="en-GB"/>
              </w:rPr>
              <w:t>Red AMC</w:t>
            </w:r>
          </w:p>
        </w:tc>
        <w:tc>
          <w:tcPr>
            <w:tcW w:w="4066" w:type="dxa"/>
            <w:tcBorders>
              <w:top w:val="single" w:sz="4" w:space="0" w:color="auto"/>
              <w:left w:val="single" w:sz="4" w:space="0" w:color="auto"/>
              <w:bottom w:val="single" w:sz="4" w:space="0" w:color="auto"/>
              <w:right w:val="single" w:sz="4" w:space="0" w:color="auto"/>
            </w:tcBorders>
            <w:vAlign w:val="center"/>
            <w:hideMark/>
          </w:tcPr>
          <w:p w14:paraId="43CBDBCB" w14:textId="3715FA43" w:rsidR="005A7A10" w:rsidRPr="00B64820" w:rsidRDefault="005A7A10" w:rsidP="006A5E3B">
            <w:pPr>
              <w:pStyle w:val="Heading1"/>
              <w:rPr>
                <w:rFonts w:ascii="Times New Roman" w:hAnsi="Times New Roman" w:cs="Times New Roman"/>
                <w:color w:val="auto"/>
                <w:sz w:val="32"/>
                <w:szCs w:val="32"/>
                <w:lang w:val="en-GB"/>
              </w:rPr>
            </w:pPr>
            <w:r w:rsidRPr="00B64820">
              <w:rPr>
                <w:rFonts w:ascii="Times New Roman" w:hAnsi="Times New Roman" w:cs="Times New Roman"/>
                <w:color w:val="auto"/>
                <w:sz w:val="32"/>
                <w:szCs w:val="32"/>
                <w:lang w:val="en-GB"/>
              </w:rPr>
              <w:t>Institutional Manager</w:t>
            </w:r>
          </w:p>
        </w:tc>
      </w:tr>
      <w:tr w:rsidR="005A7A10" w:rsidRPr="00B64820" w14:paraId="6A190B22" w14:textId="77777777" w:rsidTr="006A5E3B">
        <w:trPr>
          <w:tblCellSpacing w:w="15" w:type="dxa"/>
        </w:trPr>
        <w:tc>
          <w:tcPr>
            <w:tcW w:w="2420" w:type="dxa"/>
            <w:tcBorders>
              <w:top w:val="single" w:sz="4" w:space="0" w:color="auto"/>
              <w:left w:val="single" w:sz="4" w:space="0" w:color="auto"/>
              <w:bottom w:val="single" w:sz="4" w:space="0" w:color="auto"/>
              <w:right w:val="single" w:sz="4" w:space="0" w:color="auto"/>
            </w:tcBorders>
            <w:vAlign w:val="center"/>
            <w:hideMark/>
          </w:tcPr>
          <w:p w14:paraId="07A926BA" w14:textId="77777777" w:rsidR="005A7A10" w:rsidRPr="00B64820" w:rsidRDefault="005A7A10" w:rsidP="006A5E3B">
            <w:pPr>
              <w:pStyle w:val="Heading1"/>
              <w:rPr>
                <w:rFonts w:ascii="Times New Roman" w:hAnsi="Times New Roman" w:cs="Times New Roman"/>
                <w:color w:val="auto"/>
                <w:sz w:val="32"/>
                <w:szCs w:val="32"/>
                <w:lang w:val="en-GB"/>
              </w:rPr>
            </w:pPr>
            <w:r w:rsidRPr="00B64820">
              <w:rPr>
                <w:rFonts w:ascii="Times New Roman" w:hAnsi="Times New Roman" w:cs="Times New Roman"/>
                <w:color w:val="auto"/>
                <w:sz w:val="32"/>
                <w:szCs w:val="32"/>
                <w:lang w:val="en-GB"/>
              </w:rPr>
              <w:t>Nathan McNamara</w:t>
            </w:r>
          </w:p>
        </w:tc>
        <w:tc>
          <w:tcPr>
            <w:tcW w:w="2096" w:type="dxa"/>
            <w:tcBorders>
              <w:top w:val="single" w:sz="4" w:space="0" w:color="auto"/>
              <w:left w:val="single" w:sz="4" w:space="0" w:color="auto"/>
              <w:bottom w:val="single" w:sz="4" w:space="0" w:color="auto"/>
              <w:right w:val="single" w:sz="4" w:space="0" w:color="auto"/>
            </w:tcBorders>
            <w:vAlign w:val="center"/>
            <w:hideMark/>
          </w:tcPr>
          <w:p w14:paraId="7F3F66BD" w14:textId="7A9DB6A2" w:rsidR="005A7A10" w:rsidRPr="00B64820" w:rsidRDefault="0091634E" w:rsidP="006A5E3B">
            <w:pPr>
              <w:pStyle w:val="Heading1"/>
              <w:rPr>
                <w:rFonts w:ascii="Times New Roman" w:hAnsi="Times New Roman" w:cs="Times New Roman"/>
                <w:color w:val="auto"/>
                <w:sz w:val="32"/>
                <w:szCs w:val="32"/>
                <w:lang w:val="en-GB"/>
              </w:rPr>
            </w:pPr>
            <w:r>
              <w:rPr>
                <w:rFonts w:ascii="Times New Roman" w:hAnsi="Times New Roman" w:cs="Times New Roman"/>
                <w:color w:val="auto"/>
                <w:sz w:val="32"/>
                <w:szCs w:val="32"/>
                <w:lang w:val="en-GB"/>
              </w:rPr>
              <w:t>DARK DATA COMPANY LTD</w:t>
            </w:r>
          </w:p>
        </w:tc>
        <w:tc>
          <w:tcPr>
            <w:tcW w:w="4066" w:type="dxa"/>
            <w:tcBorders>
              <w:top w:val="single" w:sz="4" w:space="0" w:color="auto"/>
              <w:left w:val="single" w:sz="4" w:space="0" w:color="auto"/>
              <w:bottom w:val="single" w:sz="4" w:space="0" w:color="auto"/>
              <w:right w:val="single" w:sz="4" w:space="0" w:color="auto"/>
            </w:tcBorders>
            <w:vAlign w:val="center"/>
            <w:hideMark/>
          </w:tcPr>
          <w:p w14:paraId="3E555134" w14:textId="77777777" w:rsidR="005A7A10" w:rsidRPr="00B64820" w:rsidRDefault="005A7A10" w:rsidP="006A5E3B">
            <w:pPr>
              <w:pStyle w:val="Heading1"/>
              <w:rPr>
                <w:rFonts w:ascii="Times New Roman" w:hAnsi="Times New Roman" w:cs="Times New Roman"/>
                <w:color w:val="auto"/>
                <w:sz w:val="32"/>
                <w:szCs w:val="32"/>
                <w:lang w:val="en-GB"/>
              </w:rPr>
            </w:pPr>
            <w:r w:rsidRPr="00B64820">
              <w:rPr>
                <w:rFonts w:ascii="Times New Roman" w:hAnsi="Times New Roman" w:cs="Times New Roman"/>
                <w:color w:val="auto"/>
                <w:sz w:val="32"/>
                <w:szCs w:val="32"/>
                <w:lang w:val="en-GB"/>
              </w:rPr>
              <w:t>Project Sponsor Client</w:t>
            </w:r>
          </w:p>
        </w:tc>
      </w:tr>
    </w:tbl>
    <w:p w14:paraId="3D6A1A69" w14:textId="2F8CECE7" w:rsidR="005A7A10" w:rsidRPr="00B64820" w:rsidRDefault="005A7A10" w:rsidP="005A7A10">
      <w:pPr>
        <w:pStyle w:val="Heading1"/>
        <w:rPr>
          <w:rFonts w:ascii="Times New Roman" w:hAnsi="Times New Roman" w:cs="Times New Roman"/>
          <w:color w:val="auto"/>
          <w:sz w:val="32"/>
          <w:szCs w:val="32"/>
          <w:lang w:val="en-GB"/>
        </w:rPr>
      </w:pPr>
      <w:r w:rsidRPr="00B64820">
        <w:rPr>
          <w:rFonts w:ascii="Times New Roman" w:hAnsi="Times New Roman" w:cs="Times New Roman"/>
          <w:color w:val="auto"/>
          <w:sz w:val="32"/>
          <w:szCs w:val="32"/>
          <w:lang w:val="en-GB"/>
        </w:rPr>
        <w:t>Document Version Control</w:t>
      </w:r>
      <w:r w:rsidR="00F31B71" w:rsidRPr="00B64820">
        <w:rPr>
          <w:rFonts w:ascii="Times New Roman" w:hAnsi="Times New Roman" w:cs="Times New Roman"/>
          <w:color w:val="auto"/>
          <w:sz w:val="32"/>
          <w:szCs w:val="32"/>
          <w:lang w:val="en-GB"/>
        </w:rPr>
        <w:t>:</w:t>
      </w:r>
    </w:p>
    <w:p w14:paraId="3E05B508" w14:textId="77777777" w:rsidR="00E655C2" w:rsidRPr="00B64820" w:rsidRDefault="00E655C2" w:rsidP="00E655C2">
      <w:pPr>
        <w:rPr>
          <w:rFonts w:ascii="Times New Roman" w:hAnsi="Times New Roman" w:cs="Times New Roman"/>
          <w:sz w:val="32"/>
          <w:szCs w:val="32"/>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3"/>
        <w:gridCol w:w="1984"/>
        <w:gridCol w:w="2127"/>
      </w:tblGrid>
      <w:tr w:rsidR="005A7A10" w:rsidRPr="00B64820" w14:paraId="4D93E583" w14:textId="77777777" w:rsidTr="006A5E3B">
        <w:trPr>
          <w:tblHeader/>
          <w:tblCellSpacing w:w="15" w:type="dxa"/>
        </w:trPr>
        <w:tc>
          <w:tcPr>
            <w:tcW w:w="1418" w:type="dxa"/>
            <w:tcBorders>
              <w:top w:val="single" w:sz="4" w:space="0" w:color="auto"/>
              <w:left w:val="single" w:sz="4" w:space="0" w:color="auto"/>
              <w:bottom w:val="single" w:sz="4" w:space="0" w:color="auto"/>
            </w:tcBorders>
            <w:vAlign w:val="center"/>
            <w:hideMark/>
          </w:tcPr>
          <w:p w14:paraId="2A83FCE5" w14:textId="77777777" w:rsidR="005A7A10" w:rsidRPr="00B64820" w:rsidRDefault="005A7A10" w:rsidP="005A7A10">
            <w:pPr>
              <w:pStyle w:val="Heading1"/>
              <w:rPr>
                <w:rFonts w:ascii="Times New Roman" w:hAnsi="Times New Roman" w:cs="Times New Roman"/>
                <w:color w:val="auto"/>
                <w:sz w:val="32"/>
                <w:szCs w:val="32"/>
                <w:u w:val="single"/>
                <w:lang w:val="en-GB"/>
              </w:rPr>
            </w:pPr>
            <w:r w:rsidRPr="00B64820">
              <w:rPr>
                <w:rFonts w:ascii="Times New Roman" w:hAnsi="Times New Roman" w:cs="Times New Roman"/>
                <w:color w:val="auto"/>
                <w:sz w:val="32"/>
                <w:szCs w:val="32"/>
                <w:u w:val="single"/>
                <w:lang w:val="en-GB"/>
              </w:rPr>
              <w:t>Version</w:t>
            </w:r>
          </w:p>
        </w:tc>
        <w:tc>
          <w:tcPr>
            <w:tcW w:w="1954" w:type="dxa"/>
            <w:tcBorders>
              <w:top w:val="single" w:sz="4" w:space="0" w:color="auto"/>
              <w:bottom w:val="single" w:sz="4" w:space="0" w:color="auto"/>
            </w:tcBorders>
            <w:vAlign w:val="center"/>
            <w:hideMark/>
          </w:tcPr>
          <w:p w14:paraId="2489B35C" w14:textId="77777777" w:rsidR="005A7A10" w:rsidRPr="00B64820" w:rsidRDefault="005A7A10" w:rsidP="005A7A10">
            <w:pPr>
              <w:pStyle w:val="Heading1"/>
              <w:rPr>
                <w:rFonts w:ascii="Times New Roman" w:hAnsi="Times New Roman" w:cs="Times New Roman"/>
                <w:color w:val="auto"/>
                <w:sz w:val="32"/>
                <w:szCs w:val="32"/>
                <w:u w:val="single"/>
                <w:lang w:val="en-GB"/>
              </w:rPr>
            </w:pPr>
            <w:r w:rsidRPr="00B64820">
              <w:rPr>
                <w:rFonts w:ascii="Times New Roman" w:hAnsi="Times New Roman" w:cs="Times New Roman"/>
                <w:color w:val="auto"/>
                <w:sz w:val="32"/>
                <w:szCs w:val="32"/>
                <w:u w:val="single"/>
                <w:lang w:val="en-GB"/>
              </w:rPr>
              <w:t>Date</w:t>
            </w:r>
          </w:p>
        </w:tc>
        <w:tc>
          <w:tcPr>
            <w:tcW w:w="2082" w:type="dxa"/>
            <w:tcBorders>
              <w:top w:val="single" w:sz="4" w:space="0" w:color="auto"/>
              <w:bottom w:val="single" w:sz="4" w:space="0" w:color="auto"/>
              <w:right w:val="single" w:sz="4" w:space="0" w:color="auto"/>
            </w:tcBorders>
            <w:vAlign w:val="center"/>
            <w:hideMark/>
          </w:tcPr>
          <w:p w14:paraId="51B2A5EA" w14:textId="77777777" w:rsidR="005A7A10" w:rsidRPr="00B64820" w:rsidRDefault="005A7A10" w:rsidP="005A7A10">
            <w:pPr>
              <w:pStyle w:val="Heading1"/>
              <w:rPr>
                <w:rFonts w:ascii="Times New Roman" w:hAnsi="Times New Roman" w:cs="Times New Roman"/>
                <w:color w:val="auto"/>
                <w:sz w:val="32"/>
                <w:szCs w:val="32"/>
                <w:u w:val="single"/>
                <w:lang w:val="en-GB"/>
              </w:rPr>
            </w:pPr>
            <w:r w:rsidRPr="00B64820">
              <w:rPr>
                <w:rFonts w:ascii="Times New Roman" w:hAnsi="Times New Roman" w:cs="Times New Roman"/>
                <w:color w:val="auto"/>
                <w:sz w:val="32"/>
                <w:szCs w:val="32"/>
                <w:u w:val="single"/>
                <w:lang w:val="en-GB"/>
              </w:rPr>
              <w:t>Author</w:t>
            </w:r>
          </w:p>
        </w:tc>
      </w:tr>
      <w:tr w:rsidR="005A7A10" w:rsidRPr="00B64820" w14:paraId="0A2BA076" w14:textId="77777777" w:rsidTr="006A5E3B">
        <w:trPr>
          <w:tblCellSpacing w:w="15" w:type="dxa"/>
        </w:trPr>
        <w:tc>
          <w:tcPr>
            <w:tcW w:w="1418" w:type="dxa"/>
            <w:tcBorders>
              <w:top w:val="single" w:sz="4" w:space="0" w:color="auto"/>
              <w:left w:val="single" w:sz="4" w:space="0" w:color="auto"/>
              <w:bottom w:val="single" w:sz="4" w:space="0" w:color="auto"/>
              <w:right w:val="single" w:sz="4" w:space="0" w:color="auto"/>
            </w:tcBorders>
            <w:vAlign w:val="center"/>
            <w:hideMark/>
          </w:tcPr>
          <w:p w14:paraId="3DD8B4D2" w14:textId="2F9DD3EC" w:rsidR="005A7A10" w:rsidRPr="00B64820" w:rsidRDefault="005A7A10" w:rsidP="006A5E3B">
            <w:pPr>
              <w:pStyle w:val="Heading1"/>
              <w:rPr>
                <w:rFonts w:ascii="Times New Roman" w:hAnsi="Times New Roman" w:cs="Times New Roman"/>
                <w:color w:val="auto"/>
                <w:sz w:val="32"/>
                <w:szCs w:val="32"/>
                <w:lang w:val="en-GB"/>
              </w:rPr>
            </w:pPr>
            <w:r w:rsidRPr="00B64820">
              <w:rPr>
                <w:rFonts w:ascii="Times New Roman" w:hAnsi="Times New Roman" w:cs="Times New Roman"/>
                <w:color w:val="auto"/>
                <w:sz w:val="32"/>
                <w:szCs w:val="32"/>
                <w:lang w:val="en-GB"/>
              </w:rPr>
              <w:t>V</w:t>
            </w:r>
            <w:r w:rsidR="006A5E3B" w:rsidRPr="00B64820">
              <w:rPr>
                <w:rFonts w:ascii="Times New Roman" w:hAnsi="Times New Roman" w:cs="Times New Roman"/>
                <w:color w:val="auto"/>
                <w:sz w:val="32"/>
                <w:szCs w:val="32"/>
                <w:lang w:val="en-GB"/>
              </w:rPr>
              <w:t>1.1</w:t>
            </w:r>
          </w:p>
        </w:tc>
        <w:tc>
          <w:tcPr>
            <w:tcW w:w="1954" w:type="dxa"/>
            <w:tcBorders>
              <w:top w:val="single" w:sz="4" w:space="0" w:color="auto"/>
              <w:left w:val="single" w:sz="4" w:space="0" w:color="auto"/>
              <w:bottom w:val="single" w:sz="4" w:space="0" w:color="auto"/>
              <w:right w:val="single" w:sz="4" w:space="0" w:color="auto"/>
            </w:tcBorders>
            <w:vAlign w:val="center"/>
            <w:hideMark/>
          </w:tcPr>
          <w:p w14:paraId="3D9DBB26" w14:textId="04308A4D" w:rsidR="005A7A10" w:rsidRPr="00B64820" w:rsidRDefault="005A7A10" w:rsidP="006A5E3B">
            <w:pPr>
              <w:pStyle w:val="Heading1"/>
              <w:rPr>
                <w:rFonts w:ascii="Times New Roman" w:hAnsi="Times New Roman" w:cs="Times New Roman"/>
                <w:color w:val="auto"/>
                <w:sz w:val="32"/>
                <w:szCs w:val="32"/>
                <w:lang w:val="en-GB"/>
              </w:rPr>
            </w:pPr>
            <w:r w:rsidRPr="00B64820">
              <w:rPr>
                <w:rFonts w:ascii="Times New Roman" w:hAnsi="Times New Roman" w:cs="Times New Roman"/>
                <w:color w:val="auto"/>
                <w:sz w:val="32"/>
                <w:szCs w:val="32"/>
                <w:lang w:val="en-GB"/>
              </w:rPr>
              <w:t>[</w:t>
            </w:r>
            <w:r w:rsidR="006A5E3B" w:rsidRPr="00B64820">
              <w:rPr>
                <w:rFonts w:ascii="Times New Roman" w:hAnsi="Times New Roman" w:cs="Times New Roman"/>
                <w:color w:val="auto"/>
                <w:sz w:val="32"/>
                <w:szCs w:val="32"/>
                <w:lang w:val="en-GB"/>
              </w:rPr>
              <w:t>20/06/2025</w:t>
            </w:r>
            <w:r w:rsidRPr="00B64820">
              <w:rPr>
                <w:rFonts w:ascii="Times New Roman" w:hAnsi="Times New Roman" w:cs="Times New Roman"/>
                <w:color w:val="auto"/>
                <w:sz w:val="32"/>
                <w:szCs w:val="32"/>
                <w:lang w:val="en-GB"/>
              </w:rPr>
              <w:t>]</w:t>
            </w:r>
          </w:p>
        </w:tc>
        <w:tc>
          <w:tcPr>
            <w:tcW w:w="2082" w:type="dxa"/>
            <w:tcBorders>
              <w:top w:val="single" w:sz="4" w:space="0" w:color="auto"/>
              <w:left w:val="single" w:sz="4" w:space="0" w:color="auto"/>
              <w:bottom w:val="single" w:sz="4" w:space="0" w:color="auto"/>
              <w:right w:val="single" w:sz="4" w:space="0" w:color="auto"/>
            </w:tcBorders>
            <w:vAlign w:val="center"/>
            <w:hideMark/>
          </w:tcPr>
          <w:p w14:paraId="672178FE" w14:textId="77777777" w:rsidR="005A7A10" w:rsidRPr="00B64820" w:rsidRDefault="005A7A10" w:rsidP="006A5E3B">
            <w:pPr>
              <w:pStyle w:val="Heading1"/>
              <w:rPr>
                <w:rFonts w:ascii="Times New Roman" w:hAnsi="Times New Roman" w:cs="Times New Roman"/>
                <w:color w:val="auto"/>
                <w:sz w:val="32"/>
                <w:szCs w:val="32"/>
                <w:lang w:val="en-GB"/>
              </w:rPr>
            </w:pPr>
            <w:r w:rsidRPr="00B64820">
              <w:rPr>
                <w:rFonts w:ascii="Times New Roman" w:hAnsi="Times New Roman" w:cs="Times New Roman"/>
                <w:color w:val="auto"/>
                <w:sz w:val="32"/>
                <w:szCs w:val="32"/>
                <w:lang w:val="en-GB"/>
              </w:rPr>
              <w:t>Red AMC &amp; TBC</w:t>
            </w:r>
          </w:p>
        </w:tc>
      </w:tr>
    </w:tbl>
    <w:p w14:paraId="29A922A6" w14:textId="77777777" w:rsidR="00ED7933" w:rsidRDefault="00ED7933">
      <w:pPr>
        <w:rPr>
          <w:rFonts w:ascii="Times New Roman" w:hAnsi="Times New Roman" w:cs="Times New Roman"/>
          <w:sz w:val="32"/>
          <w:szCs w:val="32"/>
        </w:rPr>
      </w:pPr>
    </w:p>
    <w:p w14:paraId="31327044" w14:textId="77777777" w:rsidR="00A94111" w:rsidRPr="00B64820" w:rsidRDefault="00A94111">
      <w:pPr>
        <w:rPr>
          <w:rFonts w:ascii="Times New Roman" w:hAnsi="Times New Roman" w:cs="Times New Roman"/>
          <w:sz w:val="32"/>
          <w:szCs w:val="32"/>
        </w:rPr>
      </w:pPr>
    </w:p>
    <w:p w14:paraId="01D08531" w14:textId="4B00B27F" w:rsidR="00ED7933" w:rsidRPr="00B64820" w:rsidRDefault="00ED7933" w:rsidP="00ED7933">
      <w:pPr>
        <w:pStyle w:val="Heading1"/>
        <w:rPr>
          <w:rFonts w:ascii="Times New Roman" w:hAnsi="Times New Roman" w:cs="Times New Roman"/>
          <w:color w:val="auto"/>
          <w:sz w:val="32"/>
          <w:szCs w:val="32"/>
        </w:rPr>
      </w:pPr>
      <w:r w:rsidRPr="00B64820">
        <w:rPr>
          <w:rFonts w:ascii="Times New Roman" w:hAnsi="Times New Roman" w:cs="Times New Roman"/>
          <w:color w:val="auto"/>
          <w:sz w:val="32"/>
          <w:szCs w:val="32"/>
        </w:rPr>
        <w:lastRenderedPageBreak/>
        <w:t>***** ******** Trust™ — Institutional Client Submission Data Pack (Initial Intake Version)</w:t>
      </w:r>
    </w:p>
    <w:p w14:paraId="658C2F97" w14:textId="77777777" w:rsidR="00ED7933" w:rsidRPr="00B64820" w:rsidRDefault="00ED7933" w:rsidP="00ED7933">
      <w:pPr>
        <w:rPr>
          <w:rFonts w:ascii="Times New Roman" w:hAnsi="Times New Roman" w:cs="Times New Roman"/>
        </w:rPr>
      </w:pPr>
    </w:p>
    <w:p w14:paraId="2D7C3DAE" w14:textId="77777777" w:rsidR="00ED7933" w:rsidRPr="00B64820" w:rsidRDefault="00ED7933" w:rsidP="00ED7933">
      <w:pPr>
        <w:rPr>
          <w:rFonts w:ascii="Times New Roman" w:hAnsi="Times New Roman" w:cs="Times New Roman"/>
          <w:b/>
          <w:bCs/>
          <w:sz w:val="32"/>
          <w:szCs w:val="32"/>
          <w:lang w:val="en-GB"/>
        </w:rPr>
      </w:pPr>
      <w:r w:rsidRPr="00B64820">
        <w:rPr>
          <w:rFonts w:ascii="Times New Roman" w:hAnsi="Times New Roman" w:cs="Times New Roman"/>
          <w:b/>
          <w:bCs/>
          <w:sz w:val="32"/>
          <w:szCs w:val="32"/>
          <w:lang w:val="en-GB"/>
        </w:rPr>
        <w:t>Contents</w:t>
      </w:r>
    </w:p>
    <w:p w14:paraId="12570A84" w14:textId="77777777" w:rsidR="00ED7933" w:rsidRPr="00B64820" w:rsidRDefault="00ED7933" w:rsidP="00ED7933">
      <w:pPr>
        <w:numPr>
          <w:ilvl w:val="0"/>
          <w:numId w:val="28"/>
        </w:numPr>
        <w:rPr>
          <w:rFonts w:ascii="Times New Roman" w:hAnsi="Times New Roman" w:cs="Times New Roman"/>
          <w:b/>
          <w:bCs/>
          <w:sz w:val="28"/>
          <w:szCs w:val="28"/>
          <w:lang w:val="en-GB"/>
        </w:rPr>
      </w:pPr>
      <w:r w:rsidRPr="00B64820">
        <w:rPr>
          <w:rFonts w:ascii="Times New Roman" w:hAnsi="Times New Roman" w:cs="Times New Roman"/>
          <w:b/>
          <w:bCs/>
          <w:sz w:val="28"/>
          <w:szCs w:val="28"/>
          <w:lang w:val="en-GB"/>
        </w:rPr>
        <w:t>Institutional Control Statement</w:t>
      </w:r>
    </w:p>
    <w:p w14:paraId="303B1650" w14:textId="77777777" w:rsidR="00ED7933" w:rsidRPr="00B64820" w:rsidRDefault="00ED7933" w:rsidP="00ED7933">
      <w:pPr>
        <w:numPr>
          <w:ilvl w:val="0"/>
          <w:numId w:val="28"/>
        </w:numPr>
        <w:rPr>
          <w:rFonts w:ascii="Times New Roman" w:hAnsi="Times New Roman" w:cs="Times New Roman"/>
          <w:b/>
          <w:bCs/>
          <w:sz w:val="28"/>
          <w:szCs w:val="28"/>
          <w:lang w:val="en-GB"/>
        </w:rPr>
      </w:pPr>
      <w:r w:rsidRPr="00B64820">
        <w:rPr>
          <w:rFonts w:ascii="Times New Roman" w:hAnsi="Times New Roman" w:cs="Times New Roman"/>
          <w:b/>
          <w:bCs/>
          <w:sz w:val="28"/>
          <w:szCs w:val="28"/>
          <w:lang w:val="en-GB"/>
        </w:rPr>
        <w:t>SECTION 1 — Core Project Data</w:t>
      </w:r>
    </w:p>
    <w:p w14:paraId="65D3C2EB" w14:textId="77777777" w:rsidR="00ED7933" w:rsidRPr="00B64820" w:rsidRDefault="00ED7933" w:rsidP="00ED7933">
      <w:pPr>
        <w:numPr>
          <w:ilvl w:val="1"/>
          <w:numId w:val="28"/>
        </w:numPr>
        <w:rPr>
          <w:rFonts w:ascii="Times New Roman" w:hAnsi="Times New Roman" w:cs="Times New Roman"/>
          <w:sz w:val="28"/>
          <w:szCs w:val="28"/>
          <w:lang w:val="en-GB"/>
        </w:rPr>
      </w:pPr>
      <w:r w:rsidRPr="00B64820">
        <w:rPr>
          <w:rFonts w:ascii="Times New Roman" w:hAnsi="Times New Roman" w:cs="Times New Roman"/>
          <w:sz w:val="28"/>
          <w:szCs w:val="28"/>
          <w:lang w:val="en-GB"/>
        </w:rPr>
        <w:t>1.1 Project Summary</w:t>
      </w:r>
    </w:p>
    <w:p w14:paraId="07E992A2" w14:textId="77777777" w:rsidR="00ED7933" w:rsidRPr="00B64820" w:rsidRDefault="00ED7933" w:rsidP="00ED7933">
      <w:pPr>
        <w:numPr>
          <w:ilvl w:val="1"/>
          <w:numId w:val="28"/>
        </w:numPr>
        <w:rPr>
          <w:rFonts w:ascii="Times New Roman" w:hAnsi="Times New Roman" w:cs="Times New Roman"/>
          <w:sz w:val="28"/>
          <w:szCs w:val="28"/>
          <w:lang w:val="en-GB"/>
        </w:rPr>
      </w:pPr>
      <w:r w:rsidRPr="00B64820">
        <w:rPr>
          <w:rFonts w:ascii="Times New Roman" w:hAnsi="Times New Roman" w:cs="Times New Roman"/>
          <w:sz w:val="28"/>
          <w:szCs w:val="28"/>
          <w:lang w:val="en-GB"/>
        </w:rPr>
        <w:t>1.2 Land Ownership &amp; Planning</w:t>
      </w:r>
    </w:p>
    <w:p w14:paraId="26AAFB7D" w14:textId="77777777" w:rsidR="00ED7933" w:rsidRPr="00B64820" w:rsidRDefault="00ED7933" w:rsidP="00ED7933">
      <w:pPr>
        <w:numPr>
          <w:ilvl w:val="1"/>
          <w:numId w:val="28"/>
        </w:numPr>
        <w:rPr>
          <w:rFonts w:ascii="Times New Roman" w:hAnsi="Times New Roman" w:cs="Times New Roman"/>
          <w:sz w:val="28"/>
          <w:szCs w:val="28"/>
          <w:lang w:val="en-GB"/>
        </w:rPr>
      </w:pPr>
      <w:r w:rsidRPr="00B64820">
        <w:rPr>
          <w:rFonts w:ascii="Times New Roman" w:hAnsi="Times New Roman" w:cs="Times New Roman"/>
          <w:sz w:val="28"/>
          <w:szCs w:val="28"/>
          <w:lang w:val="en-GB"/>
        </w:rPr>
        <w:t>1.3 Power &amp; Grid Connection</w:t>
      </w:r>
    </w:p>
    <w:p w14:paraId="087EAB74" w14:textId="7C81A833" w:rsidR="00ED7933" w:rsidRPr="00B64820" w:rsidRDefault="00ED7933" w:rsidP="00ED7933">
      <w:pPr>
        <w:numPr>
          <w:ilvl w:val="1"/>
          <w:numId w:val="28"/>
        </w:numPr>
        <w:rPr>
          <w:rFonts w:ascii="Times New Roman" w:hAnsi="Times New Roman" w:cs="Times New Roman"/>
          <w:sz w:val="28"/>
          <w:szCs w:val="28"/>
          <w:lang w:val="en-GB"/>
        </w:rPr>
      </w:pPr>
      <w:r w:rsidRPr="00B64820">
        <w:rPr>
          <w:rFonts w:ascii="Times New Roman" w:hAnsi="Times New Roman" w:cs="Times New Roman"/>
          <w:sz w:val="28"/>
          <w:szCs w:val="28"/>
          <w:lang w:val="en-GB"/>
        </w:rPr>
        <w:t xml:space="preserve">1.4 </w:t>
      </w:r>
      <w:r w:rsidR="000A5C33" w:rsidRPr="00B64820">
        <w:rPr>
          <w:rFonts w:ascii="Times New Roman" w:hAnsi="Times New Roman" w:cs="Times New Roman"/>
          <w:sz w:val="28"/>
          <w:szCs w:val="28"/>
          <w:lang w:val="en-GB"/>
        </w:rPr>
        <w:t xml:space="preserve">Full </w:t>
      </w:r>
      <w:r w:rsidRPr="00B64820">
        <w:rPr>
          <w:rFonts w:ascii="Times New Roman" w:hAnsi="Times New Roman" w:cs="Times New Roman"/>
          <w:sz w:val="28"/>
          <w:szCs w:val="28"/>
          <w:lang w:val="en-GB"/>
        </w:rPr>
        <w:t>Construction Budget (</w:t>
      </w:r>
      <w:r w:rsidR="000A5C33" w:rsidRPr="00B64820">
        <w:rPr>
          <w:rFonts w:ascii="Times New Roman" w:hAnsi="Times New Roman" w:cs="Times New Roman"/>
          <w:sz w:val="28"/>
          <w:szCs w:val="28"/>
          <w:lang w:val="en-GB"/>
        </w:rPr>
        <w:t>Detailed Breakdown</w:t>
      </w:r>
      <w:r w:rsidRPr="00B64820">
        <w:rPr>
          <w:rFonts w:ascii="Times New Roman" w:hAnsi="Times New Roman" w:cs="Times New Roman"/>
          <w:sz w:val="28"/>
          <w:szCs w:val="28"/>
          <w:lang w:val="en-GB"/>
        </w:rPr>
        <w:t>)</w:t>
      </w:r>
    </w:p>
    <w:p w14:paraId="7E8427BA" w14:textId="4D82A176" w:rsidR="00ED7933" w:rsidRPr="00B64820" w:rsidRDefault="00ED7933" w:rsidP="00ED7933">
      <w:pPr>
        <w:numPr>
          <w:ilvl w:val="1"/>
          <w:numId w:val="28"/>
        </w:numPr>
        <w:rPr>
          <w:rFonts w:ascii="Times New Roman" w:hAnsi="Times New Roman" w:cs="Times New Roman"/>
          <w:sz w:val="28"/>
          <w:szCs w:val="28"/>
          <w:lang w:val="en-GB"/>
        </w:rPr>
      </w:pPr>
      <w:r w:rsidRPr="00B64820">
        <w:rPr>
          <w:rFonts w:ascii="Times New Roman" w:hAnsi="Times New Roman" w:cs="Times New Roman"/>
          <w:sz w:val="28"/>
          <w:szCs w:val="28"/>
          <w:lang w:val="en-GB"/>
        </w:rPr>
        <w:t>1.5</w:t>
      </w:r>
      <w:r w:rsidR="000A5C33" w:rsidRPr="00B64820">
        <w:rPr>
          <w:rFonts w:ascii="Times New Roman" w:hAnsi="Times New Roman" w:cs="Times New Roman"/>
          <w:sz w:val="28"/>
          <w:szCs w:val="28"/>
          <w:lang w:val="en-GB"/>
        </w:rPr>
        <w:t xml:space="preserve"> </w:t>
      </w:r>
      <w:r w:rsidR="000A5C33" w:rsidRPr="000A5C33">
        <w:rPr>
          <w:rFonts w:ascii="Times New Roman" w:eastAsia="Times New Roman" w:hAnsi="Times New Roman" w:cs="Times New Roman"/>
          <w:sz w:val="28"/>
          <w:szCs w:val="28"/>
          <w:lang w:val="en-GB" w:eastAsia="en-GB"/>
        </w:rPr>
        <w:t>Gross Revenue &amp; NOI Inputs</w:t>
      </w:r>
    </w:p>
    <w:p w14:paraId="2EF4F951" w14:textId="52D5929C" w:rsidR="00ED7933" w:rsidRPr="00B64820" w:rsidRDefault="00ED7933" w:rsidP="00ED7933">
      <w:pPr>
        <w:numPr>
          <w:ilvl w:val="1"/>
          <w:numId w:val="28"/>
        </w:numPr>
        <w:rPr>
          <w:rFonts w:ascii="Times New Roman" w:hAnsi="Times New Roman" w:cs="Times New Roman"/>
          <w:sz w:val="28"/>
          <w:szCs w:val="28"/>
          <w:lang w:val="en-GB"/>
        </w:rPr>
      </w:pPr>
      <w:r w:rsidRPr="00B64820">
        <w:rPr>
          <w:rFonts w:ascii="Times New Roman" w:hAnsi="Times New Roman" w:cs="Times New Roman"/>
          <w:sz w:val="28"/>
          <w:szCs w:val="28"/>
          <w:lang w:val="en-GB"/>
        </w:rPr>
        <w:t xml:space="preserve">1.6 </w:t>
      </w:r>
      <w:r w:rsidR="000A5C33" w:rsidRPr="000A5C33">
        <w:rPr>
          <w:rFonts w:ascii="Times New Roman" w:eastAsia="Times New Roman" w:hAnsi="Times New Roman" w:cs="Times New Roman"/>
          <w:sz w:val="28"/>
          <w:szCs w:val="28"/>
          <w:lang w:val="en-GB" w:eastAsia="en-GB"/>
        </w:rPr>
        <w:t>Institutional Benchmark Validation</w:t>
      </w:r>
    </w:p>
    <w:p w14:paraId="070D5DE3" w14:textId="28214561" w:rsidR="00ED7933" w:rsidRPr="00B64820" w:rsidRDefault="00ED7933" w:rsidP="00ED7933">
      <w:pPr>
        <w:numPr>
          <w:ilvl w:val="1"/>
          <w:numId w:val="28"/>
        </w:numPr>
        <w:rPr>
          <w:rFonts w:ascii="Times New Roman" w:hAnsi="Times New Roman" w:cs="Times New Roman"/>
          <w:sz w:val="28"/>
          <w:szCs w:val="28"/>
          <w:lang w:val="en-GB"/>
        </w:rPr>
      </w:pPr>
      <w:r w:rsidRPr="00B64820">
        <w:rPr>
          <w:rFonts w:ascii="Times New Roman" w:hAnsi="Times New Roman" w:cs="Times New Roman"/>
          <w:sz w:val="28"/>
          <w:szCs w:val="28"/>
          <w:lang w:val="en-GB"/>
        </w:rPr>
        <w:t xml:space="preserve">1.7 </w:t>
      </w:r>
      <w:r w:rsidR="000A5C33" w:rsidRPr="000A5C33">
        <w:rPr>
          <w:rFonts w:ascii="Times New Roman" w:eastAsia="Times New Roman" w:hAnsi="Times New Roman" w:cs="Times New Roman"/>
          <w:sz w:val="28"/>
          <w:szCs w:val="28"/>
          <w:lang w:val="en-GB" w:eastAsia="en-GB"/>
        </w:rPr>
        <w:t>Delivery Timeline</w:t>
      </w:r>
    </w:p>
    <w:p w14:paraId="262B6885" w14:textId="29C285AF" w:rsidR="000A5C33" w:rsidRPr="00B64820" w:rsidRDefault="00ED7933" w:rsidP="000A5C33">
      <w:pPr>
        <w:numPr>
          <w:ilvl w:val="1"/>
          <w:numId w:val="28"/>
        </w:numPr>
        <w:rPr>
          <w:rFonts w:ascii="Times New Roman" w:hAnsi="Times New Roman" w:cs="Times New Roman"/>
          <w:sz w:val="28"/>
          <w:szCs w:val="28"/>
          <w:lang w:val="en-GB"/>
        </w:rPr>
      </w:pPr>
      <w:r w:rsidRPr="00B64820">
        <w:rPr>
          <w:rFonts w:ascii="Times New Roman" w:hAnsi="Times New Roman" w:cs="Times New Roman"/>
          <w:sz w:val="28"/>
          <w:szCs w:val="28"/>
          <w:lang w:val="en-GB"/>
        </w:rPr>
        <w:t xml:space="preserve">1.8 </w:t>
      </w:r>
      <w:r w:rsidR="000A5C33" w:rsidRPr="00B64820">
        <w:rPr>
          <w:rFonts w:ascii="Times New Roman" w:hAnsi="Times New Roman" w:cs="Times New Roman"/>
          <w:sz w:val="28"/>
          <w:szCs w:val="28"/>
          <w:lang w:val="en-GB"/>
        </w:rPr>
        <w:t>Developer Funding Profile</w:t>
      </w:r>
    </w:p>
    <w:p w14:paraId="69476255" w14:textId="7353C8CC" w:rsidR="002B4F5E" w:rsidRPr="00B64820" w:rsidRDefault="002B4F5E" w:rsidP="002B4F5E">
      <w:pPr>
        <w:numPr>
          <w:ilvl w:val="0"/>
          <w:numId w:val="28"/>
        </w:numPr>
        <w:rPr>
          <w:rFonts w:ascii="Times New Roman" w:hAnsi="Times New Roman" w:cs="Times New Roman"/>
          <w:b/>
          <w:bCs/>
          <w:sz w:val="28"/>
          <w:szCs w:val="28"/>
          <w:lang w:val="en-GB"/>
        </w:rPr>
      </w:pPr>
      <w:r w:rsidRPr="00B64820">
        <w:rPr>
          <w:rFonts w:ascii="Times New Roman" w:hAnsi="Times New Roman" w:cs="Times New Roman"/>
          <w:b/>
          <w:bCs/>
          <w:sz w:val="28"/>
          <w:szCs w:val="28"/>
          <w:lang w:val="en-GB"/>
        </w:rPr>
        <w:t>SECTION 2 — Additional Notes/Information</w:t>
      </w:r>
    </w:p>
    <w:p w14:paraId="323A8374" w14:textId="23B41C32" w:rsidR="00F06E6A" w:rsidRPr="00B64820" w:rsidRDefault="002B4F5E" w:rsidP="00ED7933">
      <w:pPr>
        <w:numPr>
          <w:ilvl w:val="1"/>
          <w:numId w:val="28"/>
        </w:numPr>
        <w:rPr>
          <w:rFonts w:ascii="Times New Roman" w:hAnsi="Times New Roman" w:cs="Times New Roman"/>
          <w:sz w:val="28"/>
          <w:szCs w:val="28"/>
          <w:lang w:val="en-GB"/>
        </w:rPr>
      </w:pPr>
      <w:r w:rsidRPr="00B64820">
        <w:rPr>
          <w:rFonts w:ascii="Times New Roman" w:hAnsi="Times New Roman" w:cs="Times New Roman"/>
          <w:sz w:val="28"/>
          <w:szCs w:val="28"/>
          <w:lang w:val="en-GB"/>
        </w:rPr>
        <w:t xml:space="preserve">2.1 </w:t>
      </w:r>
      <w:bookmarkStart w:id="1" w:name="_Hlk201584775"/>
      <w:r w:rsidRPr="00B64820">
        <w:rPr>
          <w:rFonts w:ascii="Times New Roman" w:hAnsi="Times New Roman" w:cs="Times New Roman"/>
          <w:sz w:val="28"/>
          <w:szCs w:val="28"/>
          <w:lang w:val="en-GB"/>
        </w:rPr>
        <w:t>Institutional Readiness Confirmations</w:t>
      </w:r>
    </w:p>
    <w:p w14:paraId="76776F82" w14:textId="0B66D418" w:rsidR="00B64820" w:rsidRPr="00B64820" w:rsidRDefault="00B64820" w:rsidP="00ED7933">
      <w:pPr>
        <w:numPr>
          <w:ilvl w:val="1"/>
          <w:numId w:val="28"/>
        </w:numPr>
        <w:rPr>
          <w:rFonts w:ascii="Times New Roman" w:hAnsi="Times New Roman" w:cs="Times New Roman"/>
          <w:sz w:val="28"/>
          <w:szCs w:val="28"/>
          <w:lang w:val="en-GB"/>
        </w:rPr>
      </w:pPr>
      <w:r w:rsidRPr="00B64820">
        <w:rPr>
          <w:rFonts w:ascii="Times New Roman" w:hAnsi="Times New Roman" w:cs="Times New Roman"/>
          <w:sz w:val="28"/>
          <w:szCs w:val="28"/>
          <w:lang w:val="en-GB"/>
        </w:rPr>
        <w:t>2.2 Financial Summary</w:t>
      </w:r>
    </w:p>
    <w:p w14:paraId="41CA8CE3" w14:textId="033F9FB2" w:rsidR="00B64820" w:rsidRPr="00B64820" w:rsidRDefault="00B64820" w:rsidP="00ED7933">
      <w:pPr>
        <w:numPr>
          <w:ilvl w:val="1"/>
          <w:numId w:val="28"/>
        </w:numPr>
        <w:rPr>
          <w:rFonts w:ascii="Times New Roman" w:hAnsi="Times New Roman" w:cs="Times New Roman"/>
          <w:sz w:val="28"/>
          <w:szCs w:val="28"/>
          <w:lang w:val="en-GB"/>
        </w:rPr>
      </w:pPr>
      <w:r w:rsidRPr="00B64820">
        <w:rPr>
          <w:rFonts w:ascii="Times New Roman" w:hAnsi="Times New Roman" w:cs="Times New Roman"/>
          <w:sz w:val="28"/>
          <w:szCs w:val="28"/>
          <w:lang w:val="en-GB"/>
        </w:rPr>
        <w:t>2.3</w:t>
      </w:r>
      <w:r w:rsidRPr="00B64820">
        <w:rPr>
          <w:rFonts w:ascii="Times New Roman" w:eastAsiaTheme="majorEastAsia" w:hAnsi="Times New Roman" w:cs="Times New Roman"/>
          <w:b/>
          <w:bCs/>
        </w:rPr>
        <w:t xml:space="preserve"> </w:t>
      </w:r>
      <w:r w:rsidRPr="00B64820">
        <w:rPr>
          <w:rFonts w:ascii="Times New Roman" w:eastAsiaTheme="majorEastAsia" w:hAnsi="Times New Roman" w:cs="Times New Roman"/>
        </w:rPr>
        <w:t>Construction Cost Benchmarks (External Verification)</w:t>
      </w:r>
    </w:p>
    <w:p w14:paraId="29605271" w14:textId="6903E565" w:rsidR="00B64820" w:rsidRPr="00B64820" w:rsidRDefault="00B64820" w:rsidP="00ED7933">
      <w:pPr>
        <w:numPr>
          <w:ilvl w:val="1"/>
          <w:numId w:val="28"/>
        </w:numPr>
        <w:rPr>
          <w:rFonts w:ascii="Times New Roman" w:hAnsi="Times New Roman" w:cs="Times New Roman"/>
          <w:sz w:val="28"/>
          <w:szCs w:val="28"/>
          <w:lang w:val="en-GB"/>
        </w:rPr>
      </w:pPr>
      <w:r w:rsidRPr="00B64820">
        <w:rPr>
          <w:rFonts w:ascii="Times New Roman" w:hAnsi="Times New Roman" w:cs="Times New Roman"/>
          <w:sz w:val="28"/>
          <w:szCs w:val="28"/>
          <w:lang w:val="en-GB"/>
        </w:rPr>
        <w:t>2.4 NOI Calculations</w:t>
      </w:r>
    </w:p>
    <w:bookmarkEnd w:id="1"/>
    <w:p w14:paraId="53C574C1" w14:textId="77777777" w:rsidR="00B64820" w:rsidRDefault="00B64820" w:rsidP="00ED7933">
      <w:pPr>
        <w:rPr>
          <w:rFonts w:ascii="Times New Roman" w:hAnsi="Times New Roman" w:cs="Times New Roman"/>
        </w:rPr>
      </w:pPr>
    </w:p>
    <w:p w14:paraId="58FE7D0E" w14:textId="77777777" w:rsidR="00A94111" w:rsidRPr="00B64820" w:rsidRDefault="00A94111" w:rsidP="00ED7933">
      <w:pPr>
        <w:rPr>
          <w:rFonts w:ascii="Times New Roman" w:hAnsi="Times New Roman" w:cs="Times New Roman"/>
        </w:rPr>
      </w:pPr>
    </w:p>
    <w:p w14:paraId="4BA810DE" w14:textId="77777777" w:rsidR="00ED7933" w:rsidRDefault="00ED7933" w:rsidP="00ED7933">
      <w:pPr>
        <w:rPr>
          <w:rFonts w:ascii="Times New Roman" w:hAnsi="Times New Roman" w:cs="Times New Roman"/>
        </w:rPr>
      </w:pPr>
    </w:p>
    <w:p w14:paraId="7692D781" w14:textId="77777777" w:rsidR="006957B1" w:rsidRDefault="006957B1" w:rsidP="00ED7933">
      <w:pPr>
        <w:rPr>
          <w:rFonts w:ascii="Times New Roman" w:hAnsi="Times New Roman" w:cs="Times New Roman"/>
        </w:rPr>
      </w:pPr>
    </w:p>
    <w:p w14:paraId="29F13646" w14:textId="77777777" w:rsidR="006957B1" w:rsidRPr="00B64820" w:rsidRDefault="006957B1" w:rsidP="00ED7933">
      <w:pPr>
        <w:rPr>
          <w:rFonts w:ascii="Times New Roman" w:hAnsi="Times New Roman" w:cs="Times New Roman"/>
        </w:rPr>
      </w:pPr>
    </w:p>
    <w:p w14:paraId="30DA721D" w14:textId="77777777" w:rsidR="000A5C33" w:rsidRPr="000A5C33" w:rsidRDefault="000A5C33" w:rsidP="000A5C33">
      <w:pPr>
        <w:pStyle w:val="NormalWeb"/>
        <w:rPr>
          <w:b/>
          <w:bCs/>
          <w:sz w:val="28"/>
          <w:szCs w:val="28"/>
        </w:rPr>
      </w:pPr>
      <w:r w:rsidRPr="000A5C33">
        <w:rPr>
          <w:b/>
          <w:bCs/>
          <w:sz w:val="28"/>
          <w:szCs w:val="28"/>
        </w:rPr>
        <w:lastRenderedPageBreak/>
        <w:t>SECTION 1 — Core Project Data</w:t>
      </w:r>
    </w:p>
    <w:p w14:paraId="47588D50" w14:textId="77777777" w:rsidR="000A5C33" w:rsidRPr="000A5C33" w:rsidRDefault="00FB624A" w:rsidP="000A5C33">
      <w:pPr>
        <w:pStyle w:val="NormalWeb"/>
        <w:rPr>
          <w:sz w:val="28"/>
          <w:szCs w:val="28"/>
        </w:rPr>
      </w:pPr>
      <w:r>
        <w:rPr>
          <w:sz w:val="28"/>
          <w:szCs w:val="28"/>
        </w:rPr>
        <w:pict w14:anchorId="40E4F46B">
          <v:rect id="_x0000_i1025" style="width:0;height:1.5pt" o:hralign="center" o:hrstd="t" o:hr="t" fillcolor="#a0a0a0" stroked="f"/>
        </w:pict>
      </w:r>
    </w:p>
    <w:p w14:paraId="2B321A8B" w14:textId="77777777" w:rsidR="000A5C33" w:rsidRPr="000A5C33" w:rsidRDefault="000A5C33" w:rsidP="000A5C33">
      <w:pPr>
        <w:pStyle w:val="NormalWeb"/>
        <w:rPr>
          <w:sz w:val="28"/>
          <w:szCs w:val="28"/>
        </w:rPr>
      </w:pPr>
      <w:r w:rsidRPr="000A5C33">
        <w:rPr>
          <w:b/>
          <w:bCs/>
          <w:sz w:val="28"/>
          <w:szCs w:val="28"/>
        </w:rPr>
        <w:t>1.1 Project Summary</w:t>
      </w:r>
    </w:p>
    <w:p w14:paraId="00634987" w14:textId="1F561B99" w:rsidR="008B62D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Project Name:</w:t>
      </w:r>
      <w:r w:rsidRPr="000A5C33">
        <w:rPr>
          <w:sz w:val="28"/>
          <w:szCs w:val="28"/>
        </w:rPr>
        <w:br/>
      </w:r>
      <w:r w:rsidR="0091634E" w:rsidRPr="00FB2CC2">
        <w:rPr>
          <w:sz w:val="28"/>
          <w:szCs w:val="28"/>
        </w:rPr>
        <w:t xml:space="preserve">DARK DATA COMPANY LTD Portugal </w:t>
      </w:r>
      <w:proofErr w:type="spellStart"/>
      <w:r w:rsidR="0091634E" w:rsidRPr="00FB2CC2">
        <w:rPr>
          <w:sz w:val="28"/>
          <w:szCs w:val="28"/>
        </w:rPr>
        <w:t>Covilhã</w:t>
      </w:r>
      <w:proofErr w:type="spellEnd"/>
      <w:r w:rsidR="0091634E" w:rsidRPr="00FB2CC2">
        <w:rPr>
          <w:rFonts w:ascii="Lato" w:hAnsi="Lato"/>
          <w:color w:val="000000"/>
          <w:sz w:val="20"/>
          <w:szCs w:val="20"/>
        </w:rPr>
        <w:t xml:space="preserve"> </w:t>
      </w:r>
      <w:r w:rsidR="0091634E" w:rsidRPr="00FB2CC2">
        <w:rPr>
          <w:sz w:val="28"/>
          <w:szCs w:val="28"/>
        </w:rPr>
        <w:t>Campus</w:t>
      </w:r>
    </w:p>
    <w:p w14:paraId="3C31103A" w14:textId="7FC33F60" w:rsidR="000A5C33" w:rsidRPr="000A5C33" w:rsidRDefault="0091634E" w:rsidP="000A5C33">
      <w:pPr>
        <w:pStyle w:val="NormalWeb"/>
        <w:rPr>
          <w:sz w:val="28"/>
          <w:szCs w:val="28"/>
        </w:rPr>
      </w:pPr>
      <w:r w:rsidRPr="00FB2CC2">
        <w:rPr>
          <w:sz w:val="28"/>
          <w:szCs w:val="28"/>
        </w:rPr>
        <w:t>Ref: DARK DATA COMPANY LTD-PT-COV-01</w:t>
      </w:r>
    </w:p>
    <w:p w14:paraId="414850B8" w14:textId="7129C064"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Project Location:</w:t>
      </w:r>
      <w:r w:rsidRPr="000A5C33">
        <w:rPr>
          <w:sz w:val="28"/>
          <w:szCs w:val="28"/>
        </w:rPr>
        <w:br/>
      </w:r>
      <w:proofErr w:type="spellStart"/>
      <w:r w:rsidRPr="000A5C33">
        <w:rPr>
          <w:sz w:val="28"/>
          <w:szCs w:val="28"/>
        </w:rPr>
        <w:t>Covilhã</w:t>
      </w:r>
      <w:proofErr w:type="spellEnd"/>
      <w:r w:rsidRPr="000A5C33">
        <w:rPr>
          <w:sz w:val="28"/>
          <w:szCs w:val="28"/>
        </w:rPr>
        <w:t>, Portugal</w:t>
      </w:r>
    </w:p>
    <w:p w14:paraId="0E4D7FE8" w14:textId="456D7B72"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Project Sponsor Legal Entity:</w:t>
      </w:r>
      <w:r w:rsidRPr="000A5C33">
        <w:rPr>
          <w:sz w:val="28"/>
          <w:szCs w:val="28"/>
        </w:rPr>
        <w:br/>
        <w:t>D</w:t>
      </w:r>
      <w:r w:rsidR="008B62D3">
        <w:rPr>
          <w:sz w:val="28"/>
          <w:szCs w:val="28"/>
        </w:rPr>
        <w:t>ark</w:t>
      </w:r>
      <w:r w:rsidRPr="000A5C33">
        <w:rPr>
          <w:sz w:val="28"/>
          <w:szCs w:val="28"/>
        </w:rPr>
        <w:t xml:space="preserve"> Data Company Ltd</w:t>
      </w:r>
    </w:p>
    <w:p w14:paraId="4E30B1AF" w14:textId="77777777"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Project Type:</w:t>
      </w:r>
      <w:r w:rsidRPr="000A5C33">
        <w:rPr>
          <w:sz w:val="28"/>
          <w:szCs w:val="28"/>
        </w:rPr>
        <w:br/>
        <w:t>Data Centre</w:t>
      </w:r>
    </w:p>
    <w:p w14:paraId="3D1D6E93" w14:textId="77777777"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Target IT Load (MW):</w:t>
      </w:r>
      <w:r w:rsidRPr="000A5C33">
        <w:rPr>
          <w:sz w:val="28"/>
          <w:szCs w:val="28"/>
        </w:rPr>
        <w:br/>
        <w:t>89 MW</w:t>
      </w:r>
    </w:p>
    <w:p w14:paraId="2D27DBBD" w14:textId="77777777"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Current Operational MW (if applicable):</w:t>
      </w:r>
      <w:r w:rsidRPr="000A5C33">
        <w:rPr>
          <w:sz w:val="28"/>
          <w:szCs w:val="28"/>
        </w:rPr>
        <w:br/>
        <w:t>6.8 MW</w:t>
      </w:r>
    </w:p>
    <w:p w14:paraId="6D25AF6F" w14:textId="77777777"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Power Density (kW/rack):</w:t>
      </w:r>
      <w:r w:rsidRPr="000A5C33">
        <w:rPr>
          <w:sz w:val="28"/>
          <w:szCs w:val="28"/>
        </w:rPr>
        <w:br/>
        <w:t>Up to 80 kW/rack</w:t>
      </w:r>
    </w:p>
    <w:p w14:paraId="59C823FE" w14:textId="047C7B09"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PUE Target:</w:t>
      </w:r>
      <w:r w:rsidRPr="000A5C33">
        <w:rPr>
          <w:sz w:val="28"/>
          <w:szCs w:val="28"/>
        </w:rPr>
        <w:br/>
        <w:t>1.2</w:t>
      </w:r>
      <w:r w:rsidR="008B62D3">
        <w:rPr>
          <w:sz w:val="28"/>
          <w:szCs w:val="28"/>
        </w:rPr>
        <w:t>0</w:t>
      </w:r>
    </w:p>
    <w:p w14:paraId="6E19AC0D" w14:textId="77777777"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Anchor Tenant Name:</w:t>
      </w:r>
      <w:r w:rsidRPr="000A5C33">
        <w:rPr>
          <w:sz w:val="28"/>
          <w:szCs w:val="28"/>
        </w:rPr>
        <w:br/>
        <w:t>Altice Portugal</w:t>
      </w:r>
    </w:p>
    <w:p w14:paraId="69EA5453" w14:textId="77777777"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Anchor Lease Status:</w:t>
      </w:r>
      <w:r w:rsidRPr="000A5C33">
        <w:rPr>
          <w:sz w:val="28"/>
          <w:szCs w:val="28"/>
        </w:rPr>
        <w:br/>
        <w:t>Lease Executed</w:t>
      </w:r>
    </w:p>
    <w:p w14:paraId="5DB1D9AE" w14:textId="77777777"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Lease Term (Years):</w:t>
      </w:r>
      <w:r w:rsidRPr="000A5C33">
        <w:rPr>
          <w:sz w:val="28"/>
          <w:szCs w:val="28"/>
        </w:rPr>
        <w:br/>
        <w:t>25 years</w:t>
      </w:r>
    </w:p>
    <w:p w14:paraId="0AF8C6C6" w14:textId="56B9C106" w:rsidR="000A5C33" w:rsidRPr="000A5C33" w:rsidRDefault="000A5C33" w:rsidP="000A5C33">
      <w:pPr>
        <w:pStyle w:val="NormalWeb"/>
        <w:rPr>
          <w:sz w:val="28"/>
          <w:szCs w:val="28"/>
        </w:rPr>
      </w:pPr>
      <w:r w:rsidRPr="000A5C33">
        <w:rPr>
          <w:rFonts w:ascii="Segoe UI Symbol" w:hAnsi="Segoe UI Symbol" w:cs="Segoe UI Symbol"/>
          <w:sz w:val="28"/>
          <w:szCs w:val="28"/>
        </w:rPr>
        <w:lastRenderedPageBreak/>
        <w:t>☑</w:t>
      </w:r>
      <w:r w:rsidRPr="000A5C33">
        <w:rPr>
          <w:sz w:val="28"/>
          <w:szCs w:val="28"/>
        </w:rPr>
        <w:t xml:space="preserve"> </w:t>
      </w:r>
      <w:r w:rsidRPr="000A5C33">
        <w:rPr>
          <w:b/>
          <w:bCs/>
          <w:sz w:val="28"/>
          <w:szCs w:val="28"/>
        </w:rPr>
        <w:t>Rent Start Date:</w:t>
      </w:r>
      <w:r w:rsidRPr="000A5C33">
        <w:rPr>
          <w:sz w:val="28"/>
          <w:szCs w:val="28"/>
        </w:rPr>
        <w:br/>
      </w:r>
      <w:r w:rsidR="00AB4890">
        <w:rPr>
          <w:sz w:val="28"/>
          <w:szCs w:val="28"/>
        </w:rPr>
        <w:t>1 February 2027</w:t>
      </w:r>
    </w:p>
    <w:p w14:paraId="04EE5640" w14:textId="77777777"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Base Rent Level:</w:t>
      </w:r>
      <w:r w:rsidRPr="000A5C33">
        <w:rPr>
          <w:sz w:val="28"/>
          <w:szCs w:val="28"/>
        </w:rPr>
        <w:br/>
        <w:t>€115 per kW per month</w:t>
      </w:r>
    </w:p>
    <w:p w14:paraId="466F9131" w14:textId="256930EA"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Indexation Terms:</w:t>
      </w:r>
      <w:r w:rsidRPr="000A5C33">
        <w:rPr>
          <w:sz w:val="28"/>
          <w:szCs w:val="28"/>
        </w:rPr>
        <w:br/>
      </w:r>
      <w:r w:rsidR="00CD0CE9">
        <w:rPr>
          <w:sz w:val="28"/>
          <w:szCs w:val="28"/>
        </w:rPr>
        <w:t>Capped</w:t>
      </w:r>
      <w:r w:rsidRPr="000A5C33">
        <w:rPr>
          <w:sz w:val="28"/>
          <w:szCs w:val="28"/>
        </w:rPr>
        <w:t xml:space="preserve"> at </w:t>
      </w:r>
      <w:r w:rsidR="0091634E">
        <w:rPr>
          <w:sz w:val="28"/>
          <w:szCs w:val="28"/>
        </w:rPr>
        <w:t>2</w:t>
      </w:r>
      <w:r w:rsidRPr="000A5C33">
        <w:rPr>
          <w:sz w:val="28"/>
          <w:szCs w:val="28"/>
        </w:rPr>
        <w:t>% annually</w:t>
      </w:r>
    </w:p>
    <w:p w14:paraId="4121EAA1" w14:textId="77777777"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SLA Commitment:</w:t>
      </w:r>
      <w:r w:rsidRPr="000A5C33">
        <w:rPr>
          <w:sz w:val="28"/>
          <w:szCs w:val="28"/>
        </w:rPr>
        <w:br/>
        <w:t>99.999% uptime</w:t>
      </w:r>
    </w:p>
    <w:p w14:paraId="37299E25" w14:textId="77777777" w:rsidR="000A5C33" w:rsidRPr="000A5C33" w:rsidRDefault="00FB624A" w:rsidP="000A5C33">
      <w:pPr>
        <w:pStyle w:val="NormalWeb"/>
        <w:rPr>
          <w:sz w:val="28"/>
          <w:szCs w:val="28"/>
        </w:rPr>
      </w:pPr>
      <w:r>
        <w:rPr>
          <w:sz w:val="28"/>
          <w:szCs w:val="28"/>
        </w:rPr>
        <w:pict w14:anchorId="2A819399">
          <v:rect id="_x0000_i1026" style="width:0;height:1.5pt" o:hralign="center" o:hrstd="t" o:hr="t" fillcolor="#a0a0a0" stroked="f"/>
        </w:pict>
      </w:r>
    </w:p>
    <w:p w14:paraId="52A4D53F" w14:textId="77777777" w:rsidR="000A5C33" w:rsidRPr="000A5C33" w:rsidRDefault="000A5C33" w:rsidP="000A5C33">
      <w:pPr>
        <w:pStyle w:val="NormalWeb"/>
        <w:rPr>
          <w:sz w:val="28"/>
          <w:szCs w:val="28"/>
        </w:rPr>
      </w:pPr>
      <w:r w:rsidRPr="000A5C33">
        <w:rPr>
          <w:b/>
          <w:bCs/>
          <w:sz w:val="28"/>
          <w:szCs w:val="28"/>
        </w:rPr>
        <w:t>1.2 Land Ownership &amp; Planning</w:t>
      </w:r>
    </w:p>
    <w:p w14:paraId="1895A9A1" w14:textId="77777777"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Land Ownership Status:</w:t>
      </w:r>
      <w:r w:rsidRPr="000A5C33">
        <w:rPr>
          <w:sz w:val="28"/>
          <w:szCs w:val="28"/>
        </w:rPr>
        <w:br/>
        <w:t>Freehold</w:t>
      </w:r>
    </w:p>
    <w:p w14:paraId="409953DD" w14:textId="0C5A0803"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Land Acquisition Price:</w:t>
      </w:r>
      <w:r w:rsidRPr="000A5C33">
        <w:rPr>
          <w:sz w:val="28"/>
          <w:szCs w:val="28"/>
        </w:rPr>
        <w:br/>
        <w:t>€</w:t>
      </w:r>
      <w:r w:rsidR="0091634E">
        <w:rPr>
          <w:sz w:val="28"/>
          <w:szCs w:val="28"/>
        </w:rPr>
        <w:t>120</w:t>
      </w:r>
      <w:r w:rsidRPr="000A5C33">
        <w:rPr>
          <w:sz w:val="28"/>
          <w:szCs w:val="28"/>
        </w:rPr>
        <w:t>,000,000</w:t>
      </w:r>
      <w:r w:rsidR="0091634E">
        <w:rPr>
          <w:sz w:val="28"/>
          <w:szCs w:val="28"/>
        </w:rPr>
        <w:t xml:space="preserve"> plus fees</w:t>
      </w:r>
    </w:p>
    <w:p w14:paraId="55331EF9" w14:textId="77777777"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Planning Approval Status:</w:t>
      </w:r>
      <w:r w:rsidRPr="000A5C33">
        <w:rPr>
          <w:sz w:val="28"/>
          <w:szCs w:val="28"/>
        </w:rPr>
        <w:br/>
        <w:t>Secured</w:t>
      </w:r>
    </w:p>
    <w:p w14:paraId="2538208F" w14:textId="3E8F714B"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Planning Reference Number:</w:t>
      </w:r>
      <w:r w:rsidRPr="000A5C33">
        <w:rPr>
          <w:sz w:val="28"/>
          <w:szCs w:val="28"/>
        </w:rPr>
        <w:br/>
      </w:r>
      <w:r w:rsidR="0091634E">
        <w:rPr>
          <w:sz w:val="28"/>
          <w:szCs w:val="28"/>
        </w:rPr>
        <w:t>NA</w:t>
      </w:r>
    </w:p>
    <w:p w14:paraId="7545C937" w14:textId="77777777" w:rsidR="000A5C33" w:rsidRPr="000A5C33" w:rsidRDefault="00FB624A" w:rsidP="000A5C33">
      <w:pPr>
        <w:pStyle w:val="NormalWeb"/>
        <w:rPr>
          <w:sz w:val="28"/>
          <w:szCs w:val="28"/>
        </w:rPr>
      </w:pPr>
      <w:r>
        <w:rPr>
          <w:sz w:val="28"/>
          <w:szCs w:val="28"/>
        </w:rPr>
        <w:pict w14:anchorId="48082F8B">
          <v:rect id="_x0000_i1027" style="width:0;height:1.5pt" o:hralign="center" o:hrstd="t" o:hr="t" fillcolor="#a0a0a0" stroked="f"/>
        </w:pict>
      </w:r>
    </w:p>
    <w:p w14:paraId="114536D3" w14:textId="77777777" w:rsidR="000A5C33" w:rsidRPr="000A5C33" w:rsidRDefault="000A5C33" w:rsidP="000A5C33">
      <w:pPr>
        <w:pStyle w:val="NormalWeb"/>
        <w:rPr>
          <w:sz w:val="28"/>
          <w:szCs w:val="28"/>
        </w:rPr>
      </w:pPr>
      <w:r w:rsidRPr="000A5C33">
        <w:rPr>
          <w:b/>
          <w:bCs/>
          <w:sz w:val="28"/>
          <w:szCs w:val="28"/>
        </w:rPr>
        <w:t>1.3 Power &amp; Grid Connection</w:t>
      </w:r>
    </w:p>
    <w:p w14:paraId="2754E93D" w14:textId="77777777"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Grid Operator Name:</w:t>
      </w:r>
      <w:r w:rsidRPr="000A5C33">
        <w:rPr>
          <w:sz w:val="28"/>
          <w:szCs w:val="28"/>
        </w:rPr>
        <w:br/>
        <w:t>REN Portugal</w:t>
      </w:r>
    </w:p>
    <w:p w14:paraId="7F847F8E" w14:textId="77777777"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MW Capacity Requested/Secured:</w:t>
      </w:r>
      <w:r w:rsidRPr="000A5C33">
        <w:rPr>
          <w:sz w:val="28"/>
          <w:szCs w:val="28"/>
        </w:rPr>
        <w:br/>
        <w:t>89 MW secured</w:t>
      </w:r>
    </w:p>
    <w:p w14:paraId="191E65D8" w14:textId="77777777"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Grid Offer Acceptance Status:</w:t>
      </w:r>
      <w:r w:rsidRPr="000A5C33">
        <w:rPr>
          <w:sz w:val="28"/>
          <w:szCs w:val="28"/>
        </w:rPr>
        <w:br/>
        <w:t>Executed</w:t>
      </w:r>
    </w:p>
    <w:p w14:paraId="3E35E1AA" w14:textId="2EDDDC2B" w:rsidR="000A5C33" w:rsidRPr="000A5C33" w:rsidRDefault="000A5C33" w:rsidP="009263A5">
      <w:pPr>
        <w:pStyle w:val="NormalWeb"/>
        <w:rPr>
          <w:sz w:val="28"/>
          <w:szCs w:val="28"/>
        </w:rPr>
      </w:pPr>
      <w:r w:rsidRPr="000A5C33">
        <w:rPr>
          <w:rFonts w:ascii="Segoe UI Symbol" w:hAnsi="Segoe UI Symbol" w:cs="Segoe UI Symbol"/>
          <w:sz w:val="28"/>
          <w:szCs w:val="28"/>
        </w:rPr>
        <w:lastRenderedPageBreak/>
        <w:t>☑</w:t>
      </w:r>
      <w:r w:rsidRPr="000A5C33">
        <w:rPr>
          <w:sz w:val="28"/>
          <w:szCs w:val="28"/>
        </w:rPr>
        <w:t xml:space="preserve"> </w:t>
      </w:r>
      <w:r w:rsidRPr="000A5C33">
        <w:rPr>
          <w:b/>
          <w:bCs/>
          <w:sz w:val="28"/>
          <w:szCs w:val="28"/>
        </w:rPr>
        <w:t>Backup Power Redundancy Design:</w:t>
      </w:r>
      <w:r w:rsidRPr="000A5C33">
        <w:rPr>
          <w:sz w:val="28"/>
          <w:szCs w:val="28"/>
        </w:rPr>
        <w:br/>
      </w:r>
      <w:r w:rsidR="0091634E">
        <w:rPr>
          <w:sz w:val="28"/>
          <w:szCs w:val="28"/>
        </w:rPr>
        <w:t>Distributed</w:t>
      </w:r>
      <w:r w:rsidRPr="000A5C33">
        <w:rPr>
          <w:sz w:val="28"/>
          <w:szCs w:val="28"/>
        </w:rPr>
        <w:t xml:space="preserve"> redundancy </w:t>
      </w:r>
      <w:r w:rsidR="009263A5" w:rsidRPr="009263A5">
        <w:rPr>
          <w:sz w:val="28"/>
          <w:szCs w:val="28"/>
        </w:rPr>
        <w:t>2N Incoming Power Feed</w:t>
      </w:r>
      <w:r w:rsidR="009263A5">
        <w:rPr>
          <w:sz w:val="28"/>
          <w:szCs w:val="28"/>
        </w:rPr>
        <w:t xml:space="preserve">, </w:t>
      </w:r>
      <w:r w:rsidR="009263A5" w:rsidRPr="009263A5">
        <w:rPr>
          <w:sz w:val="28"/>
          <w:szCs w:val="28"/>
        </w:rPr>
        <w:t xml:space="preserve">4-to-3 Power Distribution </w:t>
      </w:r>
      <w:r w:rsidRPr="000A5C33">
        <w:rPr>
          <w:sz w:val="28"/>
          <w:szCs w:val="28"/>
        </w:rPr>
        <w:t>(diesel, UPS, BESS)</w:t>
      </w:r>
    </w:p>
    <w:p w14:paraId="341F1A90" w14:textId="77777777"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Renewable PPA (if applicable):</w:t>
      </w:r>
      <w:r w:rsidRPr="000A5C33">
        <w:rPr>
          <w:sz w:val="28"/>
          <w:szCs w:val="28"/>
        </w:rPr>
        <w:br/>
        <w:t>In Progress</w:t>
      </w:r>
    </w:p>
    <w:p w14:paraId="284ADE0E" w14:textId="77777777"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Pass-Through Energy Structure:</w:t>
      </w:r>
      <w:r w:rsidRPr="000A5C33">
        <w:rPr>
          <w:sz w:val="28"/>
          <w:szCs w:val="28"/>
        </w:rPr>
        <w:br/>
        <w:t>Full tenant pass-through</w:t>
      </w:r>
    </w:p>
    <w:p w14:paraId="5B358D76" w14:textId="77777777"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Energy Purchase Price (€/MWh):</w:t>
      </w:r>
      <w:r w:rsidRPr="000A5C33">
        <w:rPr>
          <w:sz w:val="28"/>
          <w:szCs w:val="28"/>
        </w:rPr>
        <w:br/>
        <w:t>N/A (pass-through)</w:t>
      </w:r>
    </w:p>
    <w:p w14:paraId="3080C18F" w14:textId="77777777"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Energy Sale Price to Tenant (€/MWh):</w:t>
      </w:r>
      <w:r w:rsidRPr="000A5C33">
        <w:rPr>
          <w:sz w:val="28"/>
          <w:szCs w:val="28"/>
        </w:rPr>
        <w:br/>
        <w:t>N/A (pass-through)</w:t>
      </w:r>
    </w:p>
    <w:p w14:paraId="568E4EAF" w14:textId="04FB33EE"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PUE Design Target:</w:t>
      </w:r>
      <w:r w:rsidRPr="000A5C33">
        <w:rPr>
          <w:sz w:val="28"/>
          <w:szCs w:val="28"/>
        </w:rPr>
        <w:br/>
        <w:t>1.2</w:t>
      </w:r>
      <w:r w:rsidR="009263A5">
        <w:rPr>
          <w:sz w:val="28"/>
          <w:szCs w:val="28"/>
        </w:rPr>
        <w:t>0</w:t>
      </w:r>
    </w:p>
    <w:p w14:paraId="2C6D7135" w14:textId="77777777" w:rsidR="000A5C33" w:rsidRPr="000A5C33" w:rsidRDefault="00FB624A" w:rsidP="000A5C33">
      <w:pPr>
        <w:pStyle w:val="NormalWeb"/>
        <w:rPr>
          <w:sz w:val="28"/>
          <w:szCs w:val="28"/>
        </w:rPr>
      </w:pPr>
      <w:r>
        <w:rPr>
          <w:sz w:val="28"/>
          <w:szCs w:val="28"/>
        </w:rPr>
        <w:pict w14:anchorId="7D14D4F7">
          <v:rect id="_x0000_i1028" style="width:0;height:1.5pt" o:hralign="center" o:hrstd="t" o:hr="t" fillcolor="#a0a0a0" stroked="f"/>
        </w:pict>
      </w:r>
    </w:p>
    <w:p w14:paraId="7D9CCBBA" w14:textId="77777777" w:rsidR="000A5C33" w:rsidRPr="000A5C33" w:rsidRDefault="000A5C33" w:rsidP="000A5C33">
      <w:pPr>
        <w:pStyle w:val="NormalWeb"/>
        <w:rPr>
          <w:sz w:val="28"/>
          <w:szCs w:val="28"/>
        </w:rPr>
      </w:pPr>
      <w:r w:rsidRPr="000A5C33">
        <w:rPr>
          <w:b/>
          <w:bCs/>
          <w:sz w:val="28"/>
          <w:szCs w:val="28"/>
        </w:rPr>
        <w:t>1.4 Full Construction Budget (Detailed Breakdown)</w:t>
      </w:r>
    </w:p>
    <w:p w14:paraId="034097BC" w14:textId="77777777"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Total Development Cost (€):</w:t>
      </w:r>
      <w:r w:rsidRPr="000A5C33">
        <w:rPr>
          <w:sz w:val="28"/>
          <w:szCs w:val="28"/>
        </w:rPr>
        <w:br/>
        <w:t>€1,145,000,000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94"/>
        <w:gridCol w:w="1615"/>
      </w:tblGrid>
      <w:tr w:rsidR="000A5C33" w:rsidRPr="000A5C33" w14:paraId="3FEE134D" w14:textId="77777777" w:rsidTr="000A5C33">
        <w:trPr>
          <w:tblHeader/>
          <w:tblCellSpacing w:w="15" w:type="dxa"/>
        </w:trPr>
        <w:tc>
          <w:tcPr>
            <w:tcW w:w="0" w:type="auto"/>
            <w:vAlign w:val="center"/>
            <w:hideMark/>
          </w:tcPr>
          <w:p w14:paraId="6009AFD5" w14:textId="77777777" w:rsidR="000A5C33" w:rsidRPr="000A5C33" w:rsidRDefault="000A5C33" w:rsidP="000A5C33">
            <w:pPr>
              <w:pStyle w:val="NormalWeb"/>
              <w:rPr>
                <w:b/>
                <w:bCs/>
                <w:sz w:val="28"/>
                <w:szCs w:val="28"/>
              </w:rPr>
            </w:pPr>
            <w:r w:rsidRPr="000A5C33">
              <w:rPr>
                <w:b/>
                <w:bCs/>
                <w:sz w:val="28"/>
                <w:szCs w:val="28"/>
              </w:rPr>
              <w:t>Category</w:t>
            </w:r>
          </w:p>
        </w:tc>
        <w:tc>
          <w:tcPr>
            <w:tcW w:w="0" w:type="auto"/>
            <w:vAlign w:val="center"/>
            <w:hideMark/>
          </w:tcPr>
          <w:p w14:paraId="6EAB627C" w14:textId="77777777" w:rsidR="000A5C33" w:rsidRPr="000A5C33" w:rsidRDefault="000A5C33" w:rsidP="000A5C33">
            <w:pPr>
              <w:pStyle w:val="NormalWeb"/>
              <w:rPr>
                <w:b/>
                <w:bCs/>
                <w:sz w:val="28"/>
                <w:szCs w:val="28"/>
              </w:rPr>
            </w:pPr>
            <w:r w:rsidRPr="000A5C33">
              <w:rPr>
                <w:b/>
                <w:bCs/>
                <w:sz w:val="28"/>
                <w:szCs w:val="28"/>
              </w:rPr>
              <w:t>Amount (€)</w:t>
            </w:r>
          </w:p>
        </w:tc>
      </w:tr>
      <w:tr w:rsidR="000A5C33" w:rsidRPr="000A5C33" w14:paraId="2ADA2000" w14:textId="77777777" w:rsidTr="000A5C33">
        <w:trPr>
          <w:tblCellSpacing w:w="15" w:type="dxa"/>
        </w:trPr>
        <w:tc>
          <w:tcPr>
            <w:tcW w:w="0" w:type="auto"/>
            <w:vAlign w:val="center"/>
            <w:hideMark/>
          </w:tcPr>
          <w:p w14:paraId="2B674C50" w14:textId="77777777" w:rsidR="000A5C33" w:rsidRPr="000A5C33" w:rsidRDefault="000A5C33" w:rsidP="000A5C33">
            <w:pPr>
              <w:pStyle w:val="NormalWeb"/>
              <w:rPr>
                <w:sz w:val="28"/>
                <w:szCs w:val="28"/>
              </w:rPr>
            </w:pPr>
            <w:r w:rsidRPr="000A5C33">
              <w:rPr>
                <w:sz w:val="28"/>
                <w:szCs w:val="28"/>
              </w:rPr>
              <w:t>Acquisition Package (Land + Existing Rights + 6.8MW Live)</w:t>
            </w:r>
          </w:p>
        </w:tc>
        <w:tc>
          <w:tcPr>
            <w:tcW w:w="0" w:type="auto"/>
            <w:vAlign w:val="center"/>
            <w:hideMark/>
          </w:tcPr>
          <w:p w14:paraId="34E75CA6" w14:textId="2E18020A" w:rsidR="000A5C33" w:rsidRPr="000A5C33" w:rsidRDefault="000A5C33" w:rsidP="000A5C33">
            <w:pPr>
              <w:pStyle w:val="NormalWeb"/>
              <w:rPr>
                <w:sz w:val="28"/>
                <w:szCs w:val="28"/>
              </w:rPr>
            </w:pPr>
            <w:r w:rsidRPr="000A5C33">
              <w:rPr>
                <w:sz w:val="28"/>
                <w:szCs w:val="28"/>
              </w:rPr>
              <w:t>€</w:t>
            </w:r>
            <w:r w:rsidR="009263A5">
              <w:rPr>
                <w:sz w:val="28"/>
                <w:szCs w:val="28"/>
              </w:rPr>
              <w:t>120</w:t>
            </w:r>
            <w:r w:rsidRPr="000A5C33">
              <w:rPr>
                <w:sz w:val="28"/>
                <w:szCs w:val="28"/>
              </w:rPr>
              <w:t>,000,000</w:t>
            </w:r>
          </w:p>
        </w:tc>
      </w:tr>
      <w:tr w:rsidR="000A5C33" w:rsidRPr="000A5C33" w14:paraId="384A31B2" w14:textId="77777777" w:rsidTr="000A5C33">
        <w:trPr>
          <w:tblCellSpacing w:w="15" w:type="dxa"/>
        </w:trPr>
        <w:tc>
          <w:tcPr>
            <w:tcW w:w="0" w:type="auto"/>
            <w:vAlign w:val="center"/>
            <w:hideMark/>
          </w:tcPr>
          <w:p w14:paraId="0D0A75B9" w14:textId="77777777" w:rsidR="000A5C33" w:rsidRPr="000A5C33" w:rsidRDefault="000A5C33" w:rsidP="000A5C33">
            <w:pPr>
              <w:pStyle w:val="NormalWeb"/>
              <w:rPr>
                <w:sz w:val="28"/>
                <w:szCs w:val="28"/>
              </w:rPr>
            </w:pPr>
            <w:r w:rsidRPr="000A5C33">
              <w:rPr>
                <w:sz w:val="28"/>
                <w:szCs w:val="28"/>
              </w:rPr>
              <w:t>Development Build-Out (Hard + Soft Build Costs)</w:t>
            </w:r>
          </w:p>
        </w:tc>
        <w:tc>
          <w:tcPr>
            <w:tcW w:w="0" w:type="auto"/>
            <w:vAlign w:val="center"/>
            <w:hideMark/>
          </w:tcPr>
          <w:p w14:paraId="6552E5E3" w14:textId="559BD5C8" w:rsidR="000A5C33" w:rsidRPr="000A5C33" w:rsidRDefault="000A5C33" w:rsidP="000A5C33">
            <w:pPr>
              <w:pStyle w:val="NormalWeb"/>
              <w:rPr>
                <w:sz w:val="28"/>
                <w:szCs w:val="28"/>
              </w:rPr>
            </w:pPr>
            <w:r w:rsidRPr="000A5C33">
              <w:rPr>
                <w:sz w:val="28"/>
                <w:szCs w:val="28"/>
              </w:rPr>
              <w:t>€8</w:t>
            </w:r>
            <w:r w:rsidR="009263A5">
              <w:rPr>
                <w:sz w:val="28"/>
                <w:szCs w:val="28"/>
              </w:rPr>
              <w:t>38</w:t>
            </w:r>
            <w:r w:rsidRPr="000A5C33">
              <w:rPr>
                <w:sz w:val="28"/>
                <w:szCs w:val="28"/>
              </w:rPr>
              <w:t>,000,000</w:t>
            </w:r>
          </w:p>
        </w:tc>
      </w:tr>
      <w:tr w:rsidR="000A5C33" w:rsidRPr="000A5C33" w14:paraId="7AB24531" w14:textId="77777777" w:rsidTr="000A5C33">
        <w:trPr>
          <w:tblCellSpacing w:w="15" w:type="dxa"/>
        </w:trPr>
        <w:tc>
          <w:tcPr>
            <w:tcW w:w="0" w:type="auto"/>
            <w:vAlign w:val="center"/>
            <w:hideMark/>
          </w:tcPr>
          <w:p w14:paraId="116159A6" w14:textId="77777777" w:rsidR="000A5C33" w:rsidRPr="000A5C33" w:rsidRDefault="000A5C33" w:rsidP="000A5C33">
            <w:pPr>
              <w:pStyle w:val="NormalWeb"/>
              <w:rPr>
                <w:sz w:val="28"/>
                <w:szCs w:val="28"/>
              </w:rPr>
            </w:pPr>
            <w:r w:rsidRPr="000A5C33">
              <w:rPr>
                <w:sz w:val="28"/>
                <w:szCs w:val="28"/>
              </w:rPr>
              <w:t>Sponsor Development Profit (at COD)</w:t>
            </w:r>
          </w:p>
        </w:tc>
        <w:tc>
          <w:tcPr>
            <w:tcW w:w="0" w:type="auto"/>
            <w:vAlign w:val="center"/>
            <w:hideMark/>
          </w:tcPr>
          <w:p w14:paraId="5EB902EE" w14:textId="77777777" w:rsidR="000A5C33" w:rsidRPr="000A5C33" w:rsidRDefault="000A5C33" w:rsidP="000A5C33">
            <w:pPr>
              <w:pStyle w:val="NormalWeb"/>
              <w:rPr>
                <w:sz w:val="28"/>
                <w:szCs w:val="28"/>
              </w:rPr>
            </w:pPr>
            <w:r w:rsidRPr="000A5C33">
              <w:rPr>
                <w:sz w:val="28"/>
                <w:szCs w:val="28"/>
              </w:rPr>
              <w:t>€100,000,000</w:t>
            </w:r>
          </w:p>
        </w:tc>
      </w:tr>
    </w:tbl>
    <w:p w14:paraId="5F836FE6" w14:textId="56A7A20F" w:rsidR="00B64820" w:rsidRPr="00B64820" w:rsidRDefault="00B64820" w:rsidP="00B64820">
      <w:pPr>
        <w:pStyle w:val="NormalWeb"/>
        <w:rPr>
          <w:sz w:val="28"/>
          <w:szCs w:val="28"/>
        </w:rPr>
      </w:pPr>
      <w:r w:rsidRPr="00B64820">
        <w:rPr>
          <w:b/>
          <w:bCs/>
          <w:sz w:val="28"/>
          <w:szCs w:val="28"/>
        </w:rPr>
        <w:t>Full Detailed Build-Out CAPEX Table (€8</w:t>
      </w:r>
      <w:r w:rsidR="009263A5">
        <w:rPr>
          <w:b/>
          <w:bCs/>
          <w:sz w:val="28"/>
          <w:szCs w:val="28"/>
        </w:rPr>
        <w:t>38</w:t>
      </w:r>
      <w:r w:rsidRPr="00B64820">
        <w:rPr>
          <w:b/>
          <w:bCs/>
          <w:sz w:val="28"/>
          <w:szCs w:val="28"/>
        </w:rPr>
        <w:t>M Build Cost</w:t>
      </w:r>
      <w:r w:rsidR="0039656C">
        <w:rPr>
          <w:b/>
          <w:bCs/>
          <w:sz w:val="28"/>
          <w:szCs w:val="28"/>
        </w:rPr>
        <w:t>; Excluding Acquisition</w:t>
      </w:r>
      <w:r w:rsidRPr="00B64820">
        <w:rPr>
          <w:b/>
          <w:bCs/>
          <w:sz w:val="28"/>
          <w:szCs w:val="28"/>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98"/>
        <w:gridCol w:w="2552"/>
      </w:tblGrid>
      <w:tr w:rsidR="0039656C" w:rsidRPr="00B64820" w14:paraId="45B95FAE" w14:textId="77777777" w:rsidTr="0039656C">
        <w:trPr>
          <w:tblHeader/>
          <w:tblCellSpacing w:w="15" w:type="dxa"/>
        </w:trPr>
        <w:tc>
          <w:tcPr>
            <w:tcW w:w="5053" w:type="dxa"/>
            <w:hideMark/>
          </w:tcPr>
          <w:p w14:paraId="5068B062" w14:textId="129AB6A6" w:rsidR="0039656C" w:rsidRPr="0039656C" w:rsidRDefault="0039656C" w:rsidP="0039656C">
            <w:pPr>
              <w:pStyle w:val="NormalWeb"/>
              <w:rPr>
                <w:b/>
                <w:bCs/>
                <w:sz w:val="28"/>
                <w:szCs w:val="28"/>
              </w:rPr>
            </w:pPr>
            <w:r w:rsidRPr="0039656C">
              <w:rPr>
                <w:b/>
                <w:bCs/>
                <w:sz w:val="28"/>
                <w:szCs w:val="28"/>
              </w:rPr>
              <w:t>Cost Category</w:t>
            </w:r>
          </w:p>
        </w:tc>
        <w:tc>
          <w:tcPr>
            <w:tcW w:w="2507" w:type="dxa"/>
            <w:hideMark/>
          </w:tcPr>
          <w:p w14:paraId="5B4373AB" w14:textId="2B8DDF68" w:rsidR="0039656C" w:rsidRPr="0039656C" w:rsidRDefault="0039656C" w:rsidP="0039656C">
            <w:pPr>
              <w:pStyle w:val="NormalWeb"/>
              <w:rPr>
                <w:b/>
                <w:bCs/>
                <w:sz w:val="28"/>
                <w:szCs w:val="28"/>
              </w:rPr>
            </w:pPr>
            <w:r w:rsidRPr="0039656C">
              <w:rPr>
                <w:b/>
                <w:bCs/>
                <w:sz w:val="28"/>
                <w:szCs w:val="28"/>
              </w:rPr>
              <w:t>Budget Amount (€)</w:t>
            </w:r>
          </w:p>
        </w:tc>
      </w:tr>
      <w:tr w:rsidR="0039656C" w:rsidRPr="00B64820" w14:paraId="4886239D" w14:textId="77777777" w:rsidTr="0039656C">
        <w:trPr>
          <w:tblCellSpacing w:w="15" w:type="dxa"/>
        </w:trPr>
        <w:tc>
          <w:tcPr>
            <w:tcW w:w="5053" w:type="dxa"/>
            <w:hideMark/>
          </w:tcPr>
          <w:p w14:paraId="73987A03" w14:textId="78E3EA04" w:rsidR="0039656C" w:rsidRPr="0039656C" w:rsidRDefault="0039656C" w:rsidP="0039656C">
            <w:pPr>
              <w:pStyle w:val="NormalWeb"/>
              <w:rPr>
                <w:b/>
                <w:bCs/>
                <w:sz w:val="28"/>
                <w:szCs w:val="28"/>
              </w:rPr>
            </w:pPr>
            <w:r w:rsidRPr="0039656C">
              <w:rPr>
                <w:b/>
                <w:bCs/>
                <w:sz w:val="28"/>
                <w:szCs w:val="28"/>
              </w:rPr>
              <w:t>A) Acquisition &amp; Enabling Works</w:t>
            </w:r>
          </w:p>
        </w:tc>
        <w:tc>
          <w:tcPr>
            <w:tcW w:w="2507" w:type="dxa"/>
            <w:hideMark/>
          </w:tcPr>
          <w:p w14:paraId="3B8DC332" w14:textId="77777777" w:rsidR="0039656C" w:rsidRPr="0039656C" w:rsidRDefault="0039656C" w:rsidP="0039656C">
            <w:pPr>
              <w:pStyle w:val="NormalWeb"/>
              <w:rPr>
                <w:b/>
                <w:bCs/>
                <w:sz w:val="28"/>
                <w:szCs w:val="28"/>
              </w:rPr>
            </w:pPr>
          </w:p>
        </w:tc>
      </w:tr>
      <w:tr w:rsidR="0039656C" w:rsidRPr="00B64820" w14:paraId="6A084FCC" w14:textId="77777777" w:rsidTr="0039656C">
        <w:trPr>
          <w:tblCellSpacing w:w="15" w:type="dxa"/>
        </w:trPr>
        <w:tc>
          <w:tcPr>
            <w:tcW w:w="5053" w:type="dxa"/>
            <w:hideMark/>
          </w:tcPr>
          <w:p w14:paraId="5D111EB1" w14:textId="3681A4CD" w:rsidR="0039656C" w:rsidRPr="0039656C" w:rsidRDefault="0039656C" w:rsidP="0039656C">
            <w:pPr>
              <w:pStyle w:val="NormalWeb"/>
              <w:rPr>
                <w:sz w:val="28"/>
                <w:szCs w:val="28"/>
              </w:rPr>
            </w:pPr>
            <w:r w:rsidRPr="0039656C">
              <w:rPr>
                <w:sz w:val="28"/>
                <w:szCs w:val="28"/>
              </w:rPr>
              <w:t>Land Acquisition (incl. existing site)</w:t>
            </w:r>
          </w:p>
        </w:tc>
        <w:tc>
          <w:tcPr>
            <w:tcW w:w="2507" w:type="dxa"/>
            <w:hideMark/>
          </w:tcPr>
          <w:p w14:paraId="74D35246" w14:textId="4B632BAE" w:rsidR="0039656C" w:rsidRPr="0039656C" w:rsidRDefault="0039656C" w:rsidP="0039656C">
            <w:pPr>
              <w:pStyle w:val="NormalWeb"/>
              <w:rPr>
                <w:sz w:val="28"/>
                <w:szCs w:val="28"/>
              </w:rPr>
            </w:pPr>
            <w:r w:rsidRPr="0039656C">
              <w:rPr>
                <w:sz w:val="28"/>
                <w:szCs w:val="28"/>
              </w:rPr>
              <w:t>€ 120,000,000</w:t>
            </w:r>
          </w:p>
        </w:tc>
      </w:tr>
      <w:tr w:rsidR="0039656C" w:rsidRPr="00B64820" w14:paraId="6A5157DD" w14:textId="77777777" w:rsidTr="0039656C">
        <w:trPr>
          <w:tblCellSpacing w:w="15" w:type="dxa"/>
        </w:trPr>
        <w:tc>
          <w:tcPr>
            <w:tcW w:w="5053" w:type="dxa"/>
            <w:hideMark/>
          </w:tcPr>
          <w:p w14:paraId="5BEA356D" w14:textId="3BE2C18F" w:rsidR="0039656C" w:rsidRPr="0039656C" w:rsidRDefault="0039656C" w:rsidP="0039656C">
            <w:pPr>
              <w:pStyle w:val="NormalWeb"/>
              <w:rPr>
                <w:sz w:val="28"/>
                <w:szCs w:val="28"/>
              </w:rPr>
            </w:pPr>
            <w:r w:rsidRPr="0039656C">
              <w:rPr>
                <w:sz w:val="28"/>
                <w:szCs w:val="28"/>
              </w:rPr>
              <w:t>Stamp Duty, Legal, Due Diligence</w:t>
            </w:r>
          </w:p>
        </w:tc>
        <w:tc>
          <w:tcPr>
            <w:tcW w:w="2507" w:type="dxa"/>
            <w:hideMark/>
          </w:tcPr>
          <w:p w14:paraId="43107B27" w14:textId="796D4E07" w:rsidR="0039656C" w:rsidRPr="0039656C" w:rsidRDefault="0039656C" w:rsidP="0039656C">
            <w:pPr>
              <w:pStyle w:val="NormalWeb"/>
              <w:rPr>
                <w:sz w:val="28"/>
                <w:szCs w:val="28"/>
              </w:rPr>
            </w:pPr>
            <w:r w:rsidRPr="0039656C">
              <w:rPr>
                <w:sz w:val="28"/>
                <w:szCs w:val="28"/>
              </w:rPr>
              <w:t>€ 12,000,000</w:t>
            </w:r>
          </w:p>
        </w:tc>
      </w:tr>
      <w:tr w:rsidR="0039656C" w:rsidRPr="00B64820" w14:paraId="77D577E6" w14:textId="77777777" w:rsidTr="0039656C">
        <w:trPr>
          <w:tblCellSpacing w:w="15" w:type="dxa"/>
        </w:trPr>
        <w:tc>
          <w:tcPr>
            <w:tcW w:w="5053" w:type="dxa"/>
            <w:hideMark/>
          </w:tcPr>
          <w:p w14:paraId="4DA4AB2D" w14:textId="3D57CF08" w:rsidR="0039656C" w:rsidRPr="0039656C" w:rsidRDefault="0039656C" w:rsidP="0039656C">
            <w:pPr>
              <w:pStyle w:val="NormalWeb"/>
              <w:rPr>
                <w:sz w:val="28"/>
                <w:szCs w:val="28"/>
              </w:rPr>
            </w:pPr>
            <w:r w:rsidRPr="0039656C">
              <w:rPr>
                <w:sz w:val="28"/>
                <w:szCs w:val="28"/>
              </w:rPr>
              <w:lastRenderedPageBreak/>
              <w:t>Site Preparation, Utilities Interface</w:t>
            </w:r>
          </w:p>
        </w:tc>
        <w:tc>
          <w:tcPr>
            <w:tcW w:w="2507" w:type="dxa"/>
            <w:hideMark/>
          </w:tcPr>
          <w:p w14:paraId="4147BAC9" w14:textId="74714CD0" w:rsidR="0039656C" w:rsidRPr="0039656C" w:rsidRDefault="0039656C" w:rsidP="0039656C">
            <w:pPr>
              <w:pStyle w:val="NormalWeb"/>
              <w:rPr>
                <w:sz w:val="28"/>
                <w:szCs w:val="28"/>
              </w:rPr>
            </w:pPr>
            <w:r w:rsidRPr="0039656C">
              <w:rPr>
                <w:sz w:val="28"/>
                <w:szCs w:val="28"/>
              </w:rPr>
              <w:t>€ 58,000,000</w:t>
            </w:r>
          </w:p>
        </w:tc>
      </w:tr>
      <w:tr w:rsidR="0039656C" w:rsidRPr="00B64820" w14:paraId="02C06E79" w14:textId="77777777" w:rsidTr="0039656C">
        <w:trPr>
          <w:tblCellSpacing w:w="15" w:type="dxa"/>
        </w:trPr>
        <w:tc>
          <w:tcPr>
            <w:tcW w:w="5053" w:type="dxa"/>
            <w:hideMark/>
          </w:tcPr>
          <w:p w14:paraId="5365AC50" w14:textId="4E85FD80" w:rsidR="0039656C" w:rsidRPr="0039656C" w:rsidRDefault="0039656C" w:rsidP="0039656C">
            <w:pPr>
              <w:pStyle w:val="NormalWeb"/>
              <w:rPr>
                <w:sz w:val="28"/>
                <w:szCs w:val="28"/>
              </w:rPr>
            </w:pPr>
            <w:r w:rsidRPr="0039656C">
              <w:rPr>
                <w:sz w:val="28"/>
                <w:szCs w:val="28"/>
              </w:rPr>
              <w:t>Pre-Construction Professional Fees</w:t>
            </w:r>
          </w:p>
        </w:tc>
        <w:tc>
          <w:tcPr>
            <w:tcW w:w="2507" w:type="dxa"/>
            <w:hideMark/>
          </w:tcPr>
          <w:p w14:paraId="7E905958" w14:textId="0F8CE9E4" w:rsidR="0039656C" w:rsidRPr="0039656C" w:rsidRDefault="0039656C" w:rsidP="0039656C">
            <w:pPr>
              <w:pStyle w:val="NormalWeb"/>
              <w:rPr>
                <w:sz w:val="28"/>
                <w:szCs w:val="28"/>
              </w:rPr>
            </w:pPr>
            <w:r w:rsidRPr="0039656C">
              <w:rPr>
                <w:sz w:val="28"/>
                <w:szCs w:val="28"/>
              </w:rPr>
              <w:t>€ 12,000,000</w:t>
            </w:r>
          </w:p>
        </w:tc>
      </w:tr>
      <w:tr w:rsidR="0039656C" w:rsidRPr="00B64820" w14:paraId="37EB5F06" w14:textId="77777777" w:rsidTr="0039656C">
        <w:trPr>
          <w:tblCellSpacing w:w="15" w:type="dxa"/>
        </w:trPr>
        <w:tc>
          <w:tcPr>
            <w:tcW w:w="5053" w:type="dxa"/>
            <w:hideMark/>
          </w:tcPr>
          <w:p w14:paraId="2B5AC1D8" w14:textId="034289F4" w:rsidR="0039656C" w:rsidRPr="0039656C" w:rsidRDefault="0039656C" w:rsidP="0039656C">
            <w:pPr>
              <w:pStyle w:val="NormalWeb"/>
              <w:rPr>
                <w:b/>
                <w:bCs/>
                <w:sz w:val="28"/>
                <w:szCs w:val="28"/>
              </w:rPr>
            </w:pPr>
            <w:r w:rsidRPr="0039656C">
              <w:rPr>
                <w:b/>
                <w:bCs/>
                <w:sz w:val="28"/>
                <w:szCs w:val="28"/>
              </w:rPr>
              <w:t>B) Core Civil Works</w:t>
            </w:r>
          </w:p>
        </w:tc>
        <w:tc>
          <w:tcPr>
            <w:tcW w:w="2507" w:type="dxa"/>
            <w:hideMark/>
          </w:tcPr>
          <w:p w14:paraId="53CB438D" w14:textId="77777777" w:rsidR="0039656C" w:rsidRPr="0039656C" w:rsidRDefault="0039656C" w:rsidP="0039656C">
            <w:pPr>
              <w:pStyle w:val="NormalWeb"/>
              <w:rPr>
                <w:b/>
                <w:bCs/>
                <w:sz w:val="28"/>
                <w:szCs w:val="28"/>
              </w:rPr>
            </w:pPr>
          </w:p>
        </w:tc>
      </w:tr>
      <w:tr w:rsidR="0039656C" w:rsidRPr="00B64820" w14:paraId="63A488FD" w14:textId="77777777" w:rsidTr="0039656C">
        <w:trPr>
          <w:tblCellSpacing w:w="15" w:type="dxa"/>
        </w:trPr>
        <w:tc>
          <w:tcPr>
            <w:tcW w:w="5053" w:type="dxa"/>
            <w:hideMark/>
          </w:tcPr>
          <w:p w14:paraId="5BA94B1C" w14:textId="31CAB191" w:rsidR="0039656C" w:rsidRPr="0039656C" w:rsidRDefault="0039656C" w:rsidP="0039656C">
            <w:pPr>
              <w:pStyle w:val="NormalWeb"/>
              <w:rPr>
                <w:sz w:val="28"/>
                <w:szCs w:val="28"/>
              </w:rPr>
            </w:pPr>
            <w:r w:rsidRPr="0039656C">
              <w:rPr>
                <w:sz w:val="28"/>
                <w:szCs w:val="28"/>
              </w:rPr>
              <w:t>Groundworks</w:t>
            </w:r>
          </w:p>
        </w:tc>
        <w:tc>
          <w:tcPr>
            <w:tcW w:w="2507" w:type="dxa"/>
            <w:hideMark/>
          </w:tcPr>
          <w:p w14:paraId="08B35A86" w14:textId="603607C4" w:rsidR="0039656C" w:rsidRPr="0039656C" w:rsidRDefault="0039656C" w:rsidP="0039656C">
            <w:pPr>
              <w:pStyle w:val="NormalWeb"/>
              <w:rPr>
                <w:sz w:val="28"/>
                <w:szCs w:val="28"/>
              </w:rPr>
            </w:pPr>
            <w:r w:rsidRPr="0039656C">
              <w:rPr>
                <w:sz w:val="28"/>
                <w:szCs w:val="28"/>
              </w:rPr>
              <w:t>€ 25,000,000</w:t>
            </w:r>
          </w:p>
        </w:tc>
      </w:tr>
      <w:tr w:rsidR="0039656C" w:rsidRPr="00B64820" w14:paraId="63D0E687" w14:textId="77777777" w:rsidTr="0039656C">
        <w:trPr>
          <w:tblCellSpacing w:w="15" w:type="dxa"/>
        </w:trPr>
        <w:tc>
          <w:tcPr>
            <w:tcW w:w="5053" w:type="dxa"/>
            <w:hideMark/>
          </w:tcPr>
          <w:p w14:paraId="3A284899" w14:textId="6917B620" w:rsidR="0039656C" w:rsidRPr="0039656C" w:rsidRDefault="0039656C" w:rsidP="0039656C">
            <w:pPr>
              <w:pStyle w:val="NormalWeb"/>
              <w:rPr>
                <w:sz w:val="28"/>
                <w:szCs w:val="28"/>
              </w:rPr>
            </w:pPr>
            <w:r w:rsidRPr="0039656C">
              <w:rPr>
                <w:sz w:val="28"/>
                <w:szCs w:val="28"/>
              </w:rPr>
              <w:t>Foundations, Frame</w:t>
            </w:r>
          </w:p>
        </w:tc>
        <w:tc>
          <w:tcPr>
            <w:tcW w:w="2507" w:type="dxa"/>
            <w:hideMark/>
          </w:tcPr>
          <w:p w14:paraId="3675E4A2" w14:textId="60F85BC2" w:rsidR="0039656C" w:rsidRPr="0039656C" w:rsidRDefault="0039656C" w:rsidP="0039656C">
            <w:pPr>
              <w:pStyle w:val="NormalWeb"/>
              <w:rPr>
                <w:sz w:val="28"/>
                <w:szCs w:val="28"/>
              </w:rPr>
            </w:pPr>
            <w:r w:rsidRPr="0039656C">
              <w:rPr>
                <w:sz w:val="28"/>
                <w:szCs w:val="28"/>
              </w:rPr>
              <w:t>€ 50,000,000</w:t>
            </w:r>
          </w:p>
        </w:tc>
      </w:tr>
      <w:tr w:rsidR="0039656C" w:rsidRPr="00B64820" w14:paraId="12F814BD" w14:textId="77777777" w:rsidTr="0039656C">
        <w:trPr>
          <w:tblCellSpacing w:w="15" w:type="dxa"/>
        </w:trPr>
        <w:tc>
          <w:tcPr>
            <w:tcW w:w="5053" w:type="dxa"/>
            <w:hideMark/>
          </w:tcPr>
          <w:p w14:paraId="6028B46A" w14:textId="1927BA75" w:rsidR="0039656C" w:rsidRPr="0039656C" w:rsidRDefault="0039656C" w:rsidP="0039656C">
            <w:pPr>
              <w:pStyle w:val="NormalWeb"/>
              <w:rPr>
                <w:sz w:val="28"/>
                <w:szCs w:val="28"/>
              </w:rPr>
            </w:pPr>
            <w:r w:rsidRPr="0039656C">
              <w:rPr>
                <w:sz w:val="28"/>
                <w:szCs w:val="28"/>
              </w:rPr>
              <w:t>External Envelope</w:t>
            </w:r>
          </w:p>
        </w:tc>
        <w:tc>
          <w:tcPr>
            <w:tcW w:w="2507" w:type="dxa"/>
            <w:hideMark/>
          </w:tcPr>
          <w:p w14:paraId="149E2B84" w14:textId="4EBD4D79" w:rsidR="0039656C" w:rsidRPr="0039656C" w:rsidRDefault="0039656C" w:rsidP="0039656C">
            <w:pPr>
              <w:pStyle w:val="NormalWeb"/>
              <w:rPr>
                <w:sz w:val="28"/>
                <w:szCs w:val="28"/>
              </w:rPr>
            </w:pPr>
            <w:r w:rsidRPr="0039656C">
              <w:rPr>
                <w:sz w:val="28"/>
                <w:szCs w:val="28"/>
              </w:rPr>
              <w:t>€ 48,000,000</w:t>
            </w:r>
          </w:p>
        </w:tc>
      </w:tr>
      <w:tr w:rsidR="0039656C" w:rsidRPr="00B64820" w14:paraId="7FADE056" w14:textId="77777777" w:rsidTr="0039656C">
        <w:trPr>
          <w:tblCellSpacing w:w="15" w:type="dxa"/>
        </w:trPr>
        <w:tc>
          <w:tcPr>
            <w:tcW w:w="5053" w:type="dxa"/>
            <w:hideMark/>
          </w:tcPr>
          <w:p w14:paraId="52404976" w14:textId="169642DF" w:rsidR="0039656C" w:rsidRPr="0039656C" w:rsidRDefault="0039656C" w:rsidP="0039656C">
            <w:pPr>
              <w:pStyle w:val="NormalWeb"/>
              <w:rPr>
                <w:sz w:val="28"/>
                <w:szCs w:val="28"/>
              </w:rPr>
            </w:pPr>
            <w:r w:rsidRPr="0039656C">
              <w:rPr>
                <w:sz w:val="28"/>
                <w:szCs w:val="28"/>
              </w:rPr>
              <w:t>External Works</w:t>
            </w:r>
          </w:p>
        </w:tc>
        <w:tc>
          <w:tcPr>
            <w:tcW w:w="2507" w:type="dxa"/>
            <w:hideMark/>
          </w:tcPr>
          <w:p w14:paraId="074F138E" w14:textId="3B7E4B4A" w:rsidR="0039656C" w:rsidRPr="0039656C" w:rsidRDefault="0039656C" w:rsidP="0039656C">
            <w:pPr>
              <w:pStyle w:val="NormalWeb"/>
              <w:rPr>
                <w:sz w:val="28"/>
                <w:szCs w:val="28"/>
              </w:rPr>
            </w:pPr>
            <w:r w:rsidRPr="0039656C">
              <w:rPr>
                <w:sz w:val="28"/>
                <w:szCs w:val="28"/>
              </w:rPr>
              <w:t>€ 6,000,000</w:t>
            </w:r>
          </w:p>
        </w:tc>
      </w:tr>
      <w:tr w:rsidR="0039656C" w:rsidRPr="00B64820" w14:paraId="7486D11E" w14:textId="77777777" w:rsidTr="0039656C">
        <w:trPr>
          <w:tblCellSpacing w:w="15" w:type="dxa"/>
        </w:trPr>
        <w:tc>
          <w:tcPr>
            <w:tcW w:w="5053" w:type="dxa"/>
            <w:hideMark/>
          </w:tcPr>
          <w:p w14:paraId="4C843475" w14:textId="69D7544E" w:rsidR="0039656C" w:rsidRPr="0039656C" w:rsidRDefault="0039656C" w:rsidP="0039656C">
            <w:pPr>
              <w:pStyle w:val="NormalWeb"/>
              <w:rPr>
                <w:sz w:val="28"/>
                <w:szCs w:val="28"/>
              </w:rPr>
            </w:pPr>
            <w:r w:rsidRPr="0039656C">
              <w:rPr>
                <w:b/>
                <w:bCs/>
                <w:sz w:val="28"/>
                <w:szCs w:val="28"/>
              </w:rPr>
              <w:t>C) Mechanical Systems</w:t>
            </w:r>
          </w:p>
        </w:tc>
        <w:tc>
          <w:tcPr>
            <w:tcW w:w="2507" w:type="dxa"/>
            <w:hideMark/>
          </w:tcPr>
          <w:p w14:paraId="06DD5808" w14:textId="77777777" w:rsidR="0039656C" w:rsidRPr="0039656C" w:rsidRDefault="0039656C" w:rsidP="0039656C">
            <w:pPr>
              <w:pStyle w:val="NormalWeb"/>
              <w:rPr>
                <w:sz w:val="28"/>
                <w:szCs w:val="28"/>
              </w:rPr>
            </w:pPr>
          </w:p>
        </w:tc>
      </w:tr>
      <w:tr w:rsidR="0039656C" w:rsidRPr="00B64820" w14:paraId="15918F93" w14:textId="77777777" w:rsidTr="0039656C">
        <w:trPr>
          <w:tblCellSpacing w:w="15" w:type="dxa"/>
        </w:trPr>
        <w:tc>
          <w:tcPr>
            <w:tcW w:w="5053" w:type="dxa"/>
            <w:hideMark/>
          </w:tcPr>
          <w:p w14:paraId="73115E29" w14:textId="5C87E137" w:rsidR="0039656C" w:rsidRPr="0039656C" w:rsidRDefault="0039656C" w:rsidP="0039656C">
            <w:pPr>
              <w:pStyle w:val="NormalWeb"/>
              <w:rPr>
                <w:sz w:val="28"/>
                <w:szCs w:val="28"/>
              </w:rPr>
            </w:pPr>
            <w:r w:rsidRPr="0039656C">
              <w:rPr>
                <w:sz w:val="28"/>
                <w:szCs w:val="28"/>
              </w:rPr>
              <w:t>Cooling Plant</w:t>
            </w:r>
          </w:p>
        </w:tc>
        <w:tc>
          <w:tcPr>
            <w:tcW w:w="2507" w:type="dxa"/>
            <w:hideMark/>
          </w:tcPr>
          <w:p w14:paraId="7C564B3E" w14:textId="6EE05659" w:rsidR="0039656C" w:rsidRPr="0039656C" w:rsidRDefault="0039656C" w:rsidP="0039656C">
            <w:pPr>
              <w:pStyle w:val="NormalWeb"/>
              <w:rPr>
                <w:sz w:val="28"/>
                <w:szCs w:val="28"/>
              </w:rPr>
            </w:pPr>
            <w:r w:rsidRPr="0039656C">
              <w:rPr>
                <w:sz w:val="28"/>
                <w:szCs w:val="28"/>
              </w:rPr>
              <w:t>€ 80,000,000</w:t>
            </w:r>
          </w:p>
        </w:tc>
      </w:tr>
      <w:tr w:rsidR="0039656C" w:rsidRPr="00B64820" w14:paraId="217315F1" w14:textId="77777777" w:rsidTr="0039656C">
        <w:trPr>
          <w:tblCellSpacing w:w="15" w:type="dxa"/>
        </w:trPr>
        <w:tc>
          <w:tcPr>
            <w:tcW w:w="5053" w:type="dxa"/>
            <w:hideMark/>
          </w:tcPr>
          <w:p w14:paraId="0C3DAC3C" w14:textId="32ED2AF8" w:rsidR="0039656C" w:rsidRPr="0039656C" w:rsidRDefault="0039656C" w:rsidP="0039656C">
            <w:pPr>
              <w:pStyle w:val="NormalWeb"/>
              <w:rPr>
                <w:sz w:val="28"/>
                <w:szCs w:val="28"/>
              </w:rPr>
            </w:pPr>
            <w:r w:rsidRPr="0039656C">
              <w:rPr>
                <w:sz w:val="28"/>
                <w:szCs w:val="28"/>
              </w:rPr>
              <w:t>HVAC Distribution</w:t>
            </w:r>
          </w:p>
        </w:tc>
        <w:tc>
          <w:tcPr>
            <w:tcW w:w="2507" w:type="dxa"/>
            <w:hideMark/>
          </w:tcPr>
          <w:p w14:paraId="35052542" w14:textId="4F3CFF14" w:rsidR="0039656C" w:rsidRPr="0039656C" w:rsidRDefault="0039656C" w:rsidP="0039656C">
            <w:pPr>
              <w:pStyle w:val="NormalWeb"/>
              <w:rPr>
                <w:sz w:val="28"/>
                <w:szCs w:val="28"/>
              </w:rPr>
            </w:pPr>
            <w:r w:rsidRPr="0039656C">
              <w:rPr>
                <w:sz w:val="28"/>
                <w:szCs w:val="28"/>
              </w:rPr>
              <w:t>€ 30,000,000</w:t>
            </w:r>
          </w:p>
        </w:tc>
      </w:tr>
      <w:tr w:rsidR="0039656C" w:rsidRPr="00B64820" w14:paraId="154B6A5E" w14:textId="77777777" w:rsidTr="0039656C">
        <w:trPr>
          <w:tblCellSpacing w:w="15" w:type="dxa"/>
        </w:trPr>
        <w:tc>
          <w:tcPr>
            <w:tcW w:w="5053" w:type="dxa"/>
            <w:hideMark/>
          </w:tcPr>
          <w:p w14:paraId="571D8488" w14:textId="4B46BCEF" w:rsidR="0039656C" w:rsidRPr="0039656C" w:rsidRDefault="0039656C" w:rsidP="0039656C">
            <w:pPr>
              <w:pStyle w:val="NormalWeb"/>
              <w:rPr>
                <w:sz w:val="28"/>
                <w:szCs w:val="28"/>
              </w:rPr>
            </w:pPr>
            <w:r w:rsidRPr="0039656C">
              <w:rPr>
                <w:sz w:val="28"/>
                <w:szCs w:val="28"/>
              </w:rPr>
              <w:t>Fire Protection &amp; Plumbing</w:t>
            </w:r>
          </w:p>
        </w:tc>
        <w:tc>
          <w:tcPr>
            <w:tcW w:w="2507" w:type="dxa"/>
            <w:hideMark/>
          </w:tcPr>
          <w:p w14:paraId="22724846" w14:textId="4FAD03AA" w:rsidR="0039656C" w:rsidRPr="0039656C" w:rsidRDefault="0039656C" w:rsidP="0039656C">
            <w:pPr>
              <w:pStyle w:val="NormalWeb"/>
              <w:rPr>
                <w:sz w:val="28"/>
                <w:szCs w:val="28"/>
              </w:rPr>
            </w:pPr>
            <w:r w:rsidRPr="0039656C">
              <w:rPr>
                <w:sz w:val="28"/>
                <w:szCs w:val="28"/>
              </w:rPr>
              <w:t>€ 8,000,000</w:t>
            </w:r>
          </w:p>
        </w:tc>
      </w:tr>
      <w:tr w:rsidR="0039656C" w:rsidRPr="00B64820" w14:paraId="45C83760" w14:textId="77777777" w:rsidTr="0039656C">
        <w:trPr>
          <w:tblCellSpacing w:w="15" w:type="dxa"/>
        </w:trPr>
        <w:tc>
          <w:tcPr>
            <w:tcW w:w="5053" w:type="dxa"/>
            <w:hideMark/>
          </w:tcPr>
          <w:p w14:paraId="093C4FD3" w14:textId="330817DF" w:rsidR="0039656C" w:rsidRPr="0039656C" w:rsidRDefault="0039656C" w:rsidP="0039656C">
            <w:pPr>
              <w:pStyle w:val="NormalWeb"/>
              <w:rPr>
                <w:b/>
                <w:bCs/>
                <w:sz w:val="28"/>
                <w:szCs w:val="28"/>
              </w:rPr>
            </w:pPr>
            <w:r w:rsidRPr="0039656C">
              <w:rPr>
                <w:b/>
                <w:bCs/>
                <w:sz w:val="28"/>
                <w:szCs w:val="28"/>
              </w:rPr>
              <w:t>D) Electrical Systems</w:t>
            </w:r>
          </w:p>
        </w:tc>
        <w:tc>
          <w:tcPr>
            <w:tcW w:w="2507" w:type="dxa"/>
            <w:hideMark/>
          </w:tcPr>
          <w:p w14:paraId="69CF038D" w14:textId="77777777" w:rsidR="0039656C" w:rsidRPr="0039656C" w:rsidRDefault="0039656C" w:rsidP="0039656C">
            <w:pPr>
              <w:pStyle w:val="NormalWeb"/>
              <w:rPr>
                <w:sz w:val="28"/>
                <w:szCs w:val="28"/>
              </w:rPr>
            </w:pPr>
          </w:p>
        </w:tc>
      </w:tr>
      <w:tr w:rsidR="0039656C" w:rsidRPr="00B64820" w14:paraId="0ED61AE5" w14:textId="77777777" w:rsidTr="0039656C">
        <w:trPr>
          <w:tblCellSpacing w:w="15" w:type="dxa"/>
        </w:trPr>
        <w:tc>
          <w:tcPr>
            <w:tcW w:w="5053" w:type="dxa"/>
            <w:hideMark/>
          </w:tcPr>
          <w:p w14:paraId="2D014115" w14:textId="0A30197A" w:rsidR="0039656C" w:rsidRPr="0039656C" w:rsidRDefault="0039656C" w:rsidP="0039656C">
            <w:pPr>
              <w:pStyle w:val="NormalWeb"/>
              <w:rPr>
                <w:sz w:val="28"/>
                <w:szCs w:val="28"/>
              </w:rPr>
            </w:pPr>
            <w:r w:rsidRPr="0039656C">
              <w:rPr>
                <w:sz w:val="28"/>
                <w:szCs w:val="28"/>
              </w:rPr>
              <w:t>Medium Voltage Interface</w:t>
            </w:r>
          </w:p>
        </w:tc>
        <w:tc>
          <w:tcPr>
            <w:tcW w:w="2507" w:type="dxa"/>
            <w:hideMark/>
          </w:tcPr>
          <w:p w14:paraId="242A88FD" w14:textId="3962A2B6" w:rsidR="0039656C" w:rsidRPr="0039656C" w:rsidRDefault="0039656C" w:rsidP="0039656C">
            <w:pPr>
              <w:pStyle w:val="NormalWeb"/>
              <w:rPr>
                <w:sz w:val="28"/>
                <w:szCs w:val="28"/>
              </w:rPr>
            </w:pPr>
            <w:r w:rsidRPr="0039656C">
              <w:rPr>
                <w:sz w:val="28"/>
                <w:szCs w:val="28"/>
              </w:rPr>
              <w:t>€ 50,000,000</w:t>
            </w:r>
          </w:p>
        </w:tc>
      </w:tr>
      <w:tr w:rsidR="0039656C" w:rsidRPr="00B64820" w14:paraId="1BB798BB" w14:textId="77777777" w:rsidTr="0039656C">
        <w:trPr>
          <w:tblCellSpacing w:w="15" w:type="dxa"/>
        </w:trPr>
        <w:tc>
          <w:tcPr>
            <w:tcW w:w="5053" w:type="dxa"/>
            <w:hideMark/>
          </w:tcPr>
          <w:p w14:paraId="46D27385" w14:textId="2A560A18" w:rsidR="0039656C" w:rsidRPr="0039656C" w:rsidRDefault="0039656C" w:rsidP="0039656C">
            <w:pPr>
              <w:pStyle w:val="NormalWeb"/>
              <w:rPr>
                <w:sz w:val="28"/>
                <w:szCs w:val="28"/>
              </w:rPr>
            </w:pPr>
            <w:r w:rsidRPr="0039656C">
              <w:rPr>
                <w:sz w:val="28"/>
                <w:szCs w:val="28"/>
              </w:rPr>
              <w:t>HV Substations</w:t>
            </w:r>
          </w:p>
        </w:tc>
        <w:tc>
          <w:tcPr>
            <w:tcW w:w="2507" w:type="dxa"/>
            <w:hideMark/>
          </w:tcPr>
          <w:p w14:paraId="12A6953A" w14:textId="15F271EC" w:rsidR="0039656C" w:rsidRPr="0039656C" w:rsidRDefault="0039656C" w:rsidP="0039656C">
            <w:pPr>
              <w:pStyle w:val="NormalWeb"/>
              <w:rPr>
                <w:sz w:val="28"/>
                <w:szCs w:val="28"/>
              </w:rPr>
            </w:pPr>
            <w:r w:rsidRPr="0039656C">
              <w:rPr>
                <w:sz w:val="28"/>
                <w:szCs w:val="28"/>
              </w:rPr>
              <w:t>€ 56,000,000</w:t>
            </w:r>
          </w:p>
        </w:tc>
      </w:tr>
      <w:tr w:rsidR="0039656C" w:rsidRPr="00B64820" w14:paraId="2FCC6B52" w14:textId="77777777" w:rsidTr="0039656C">
        <w:trPr>
          <w:tblCellSpacing w:w="15" w:type="dxa"/>
        </w:trPr>
        <w:tc>
          <w:tcPr>
            <w:tcW w:w="5053" w:type="dxa"/>
            <w:hideMark/>
          </w:tcPr>
          <w:p w14:paraId="6D6AFC6C" w14:textId="286831CE" w:rsidR="0039656C" w:rsidRPr="0039656C" w:rsidRDefault="0039656C" w:rsidP="0039656C">
            <w:pPr>
              <w:pStyle w:val="NormalWeb"/>
              <w:rPr>
                <w:sz w:val="28"/>
                <w:szCs w:val="28"/>
              </w:rPr>
            </w:pPr>
            <w:r w:rsidRPr="0039656C">
              <w:rPr>
                <w:sz w:val="28"/>
                <w:szCs w:val="28"/>
              </w:rPr>
              <w:t>Transformers</w:t>
            </w:r>
          </w:p>
        </w:tc>
        <w:tc>
          <w:tcPr>
            <w:tcW w:w="2507" w:type="dxa"/>
            <w:hideMark/>
          </w:tcPr>
          <w:p w14:paraId="3C62A7CE" w14:textId="296E70E3" w:rsidR="0039656C" w:rsidRPr="0039656C" w:rsidRDefault="0039656C" w:rsidP="0039656C">
            <w:pPr>
              <w:pStyle w:val="NormalWeb"/>
              <w:rPr>
                <w:sz w:val="28"/>
                <w:szCs w:val="28"/>
              </w:rPr>
            </w:pPr>
            <w:r w:rsidRPr="0039656C">
              <w:rPr>
                <w:sz w:val="28"/>
                <w:szCs w:val="28"/>
              </w:rPr>
              <w:t>€ 30,000,000</w:t>
            </w:r>
          </w:p>
        </w:tc>
      </w:tr>
      <w:tr w:rsidR="0039656C" w:rsidRPr="00B64820" w14:paraId="07094AAA" w14:textId="77777777" w:rsidTr="0039656C">
        <w:trPr>
          <w:tblCellSpacing w:w="15" w:type="dxa"/>
        </w:trPr>
        <w:tc>
          <w:tcPr>
            <w:tcW w:w="5053" w:type="dxa"/>
            <w:hideMark/>
          </w:tcPr>
          <w:p w14:paraId="503DE854" w14:textId="0EC42BAB" w:rsidR="0039656C" w:rsidRPr="0039656C" w:rsidRDefault="0039656C" w:rsidP="0039656C">
            <w:pPr>
              <w:pStyle w:val="NormalWeb"/>
              <w:rPr>
                <w:sz w:val="28"/>
                <w:szCs w:val="28"/>
              </w:rPr>
            </w:pPr>
            <w:r w:rsidRPr="0039656C">
              <w:rPr>
                <w:sz w:val="28"/>
                <w:szCs w:val="28"/>
              </w:rPr>
              <w:t>UPS Systems</w:t>
            </w:r>
          </w:p>
        </w:tc>
        <w:tc>
          <w:tcPr>
            <w:tcW w:w="2507" w:type="dxa"/>
            <w:hideMark/>
          </w:tcPr>
          <w:p w14:paraId="7206B98D" w14:textId="2AF8544E" w:rsidR="0039656C" w:rsidRPr="0039656C" w:rsidRDefault="0039656C" w:rsidP="0039656C">
            <w:pPr>
              <w:pStyle w:val="NormalWeb"/>
              <w:rPr>
                <w:sz w:val="28"/>
                <w:szCs w:val="28"/>
              </w:rPr>
            </w:pPr>
            <w:r w:rsidRPr="0039656C">
              <w:rPr>
                <w:sz w:val="28"/>
                <w:szCs w:val="28"/>
              </w:rPr>
              <w:t>€ 34,000,000</w:t>
            </w:r>
          </w:p>
        </w:tc>
      </w:tr>
      <w:tr w:rsidR="0039656C" w:rsidRPr="00B64820" w14:paraId="7377B7AC" w14:textId="77777777" w:rsidTr="0039656C">
        <w:trPr>
          <w:tblCellSpacing w:w="15" w:type="dxa"/>
        </w:trPr>
        <w:tc>
          <w:tcPr>
            <w:tcW w:w="5053" w:type="dxa"/>
            <w:hideMark/>
          </w:tcPr>
          <w:p w14:paraId="0A8219BA" w14:textId="54164170" w:rsidR="0039656C" w:rsidRPr="0039656C" w:rsidRDefault="0039656C" w:rsidP="0039656C">
            <w:pPr>
              <w:pStyle w:val="NormalWeb"/>
              <w:rPr>
                <w:sz w:val="28"/>
                <w:szCs w:val="28"/>
              </w:rPr>
            </w:pPr>
            <w:r w:rsidRPr="0039656C">
              <w:rPr>
                <w:sz w:val="28"/>
                <w:szCs w:val="28"/>
              </w:rPr>
              <w:t>Generators</w:t>
            </w:r>
          </w:p>
        </w:tc>
        <w:tc>
          <w:tcPr>
            <w:tcW w:w="2507" w:type="dxa"/>
            <w:hideMark/>
          </w:tcPr>
          <w:p w14:paraId="3C21B05D" w14:textId="4C083F7E" w:rsidR="0039656C" w:rsidRPr="0039656C" w:rsidRDefault="0039656C" w:rsidP="0039656C">
            <w:pPr>
              <w:pStyle w:val="NormalWeb"/>
              <w:rPr>
                <w:sz w:val="28"/>
                <w:szCs w:val="28"/>
              </w:rPr>
            </w:pPr>
            <w:r w:rsidRPr="0039656C">
              <w:rPr>
                <w:sz w:val="28"/>
                <w:szCs w:val="28"/>
              </w:rPr>
              <w:t>€ 140,000,000</w:t>
            </w:r>
          </w:p>
        </w:tc>
      </w:tr>
      <w:tr w:rsidR="0039656C" w:rsidRPr="00B64820" w14:paraId="49A8B674" w14:textId="77777777" w:rsidTr="0039656C">
        <w:trPr>
          <w:tblCellSpacing w:w="15" w:type="dxa"/>
        </w:trPr>
        <w:tc>
          <w:tcPr>
            <w:tcW w:w="5053" w:type="dxa"/>
            <w:hideMark/>
          </w:tcPr>
          <w:p w14:paraId="52CE4429" w14:textId="75F3B87F" w:rsidR="0039656C" w:rsidRPr="0039656C" w:rsidRDefault="0039656C" w:rsidP="0039656C">
            <w:pPr>
              <w:pStyle w:val="NormalWeb"/>
              <w:rPr>
                <w:sz w:val="28"/>
                <w:szCs w:val="28"/>
              </w:rPr>
            </w:pPr>
            <w:r w:rsidRPr="0039656C">
              <w:rPr>
                <w:sz w:val="28"/>
                <w:szCs w:val="28"/>
              </w:rPr>
              <w:t>Internal Power Fit-Out</w:t>
            </w:r>
          </w:p>
        </w:tc>
        <w:tc>
          <w:tcPr>
            <w:tcW w:w="2507" w:type="dxa"/>
            <w:hideMark/>
          </w:tcPr>
          <w:p w14:paraId="4E19AA57" w14:textId="092EC638" w:rsidR="0039656C" w:rsidRPr="0039656C" w:rsidRDefault="0039656C" w:rsidP="0039656C">
            <w:pPr>
              <w:pStyle w:val="NormalWeb"/>
              <w:rPr>
                <w:sz w:val="28"/>
                <w:szCs w:val="28"/>
              </w:rPr>
            </w:pPr>
            <w:r w:rsidRPr="0039656C">
              <w:rPr>
                <w:sz w:val="28"/>
                <w:szCs w:val="28"/>
              </w:rPr>
              <w:t>€ 40,000,000</w:t>
            </w:r>
          </w:p>
        </w:tc>
      </w:tr>
      <w:tr w:rsidR="0039656C" w:rsidRPr="00B64820" w14:paraId="295AA4DB" w14:textId="77777777" w:rsidTr="0039656C">
        <w:trPr>
          <w:tblCellSpacing w:w="15" w:type="dxa"/>
        </w:trPr>
        <w:tc>
          <w:tcPr>
            <w:tcW w:w="5053" w:type="dxa"/>
            <w:hideMark/>
          </w:tcPr>
          <w:p w14:paraId="686C5ABA" w14:textId="0C43AE29" w:rsidR="0039656C" w:rsidRPr="0039656C" w:rsidRDefault="0039656C" w:rsidP="0039656C">
            <w:pPr>
              <w:pStyle w:val="NormalWeb"/>
              <w:rPr>
                <w:sz w:val="28"/>
                <w:szCs w:val="28"/>
              </w:rPr>
            </w:pPr>
            <w:r w:rsidRPr="0039656C">
              <w:rPr>
                <w:b/>
                <w:bCs/>
                <w:sz w:val="28"/>
                <w:szCs w:val="28"/>
              </w:rPr>
              <w:t>E) Security Systems</w:t>
            </w:r>
          </w:p>
        </w:tc>
        <w:tc>
          <w:tcPr>
            <w:tcW w:w="2507" w:type="dxa"/>
            <w:hideMark/>
          </w:tcPr>
          <w:p w14:paraId="1FE18291" w14:textId="77777777" w:rsidR="0039656C" w:rsidRPr="0039656C" w:rsidRDefault="0039656C" w:rsidP="0039656C">
            <w:pPr>
              <w:pStyle w:val="NormalWeb"/>
              <w:rPr>
                <w:sz w:val="28"/>
                <w:szCs w:val="28"/>
              </w:rPr>
            </w:pPr>
          </w:p>
        </w:tc>
      </w:tr>
      <w:tr w:rsidR="0039656C" w:rsidRPr="00B64820" w14:paraId="53583370" w14:textId="77777777" w:rsidTr="0039656C">
        <w:trPr>
          <w:tblCellSpacing w:w="15" w:type="dxa"/>
        </w:trPr>
        <w:tc>
          <w:tcPr>
            <w:tcW w:w="5053" w:type="dxa"/>
            <w:hideMark/>
          </w:tcPr>
          <w:p w14:paraId="15733788" w14:textId="29A56CC7" w:rsidR="0039656C" w:rsidRPr="0039656C" w:rsidRDefault="0039656C" w:rsidP="0039656C">
            <w:pPr>
              <w:pStyle w:val="NormalWeb"/>
              <w:rPr>
                <w:sz w:val="28"/>
                <w:szCs w:val="28"/>
              </w:rPr>
            </w:pPr>
            <w:r w:rsidRPr="0039656C">
              <w:rPr>
                <w:sz w:val="28"/>
                <w:szCs w:val="28"/>
              </w:rPr>
              <w:t>Perimeter Access Control, CCTV</w:t>
            </w:r>
          </w:p>
        </w:tc>
        <w:tc>
          <w:tcPr>
            <w:tcW w:w="2507" w:type="dxa"/>
            <w:hideMark/>
          </w:tcPr>
          <w:p w14:paraId="00262B4F" w14:textId="341A7028" w:rsidR="0039656C" w:rsidRPr="0039656C" w:rsidRDefault="0039656C" w:rsidP="0039656C">
            <w:pPr>
              <w:pStyle w:val="NormalWeb"/>
              <w:rPr>
                <w:sz w:val="28"/>
                <w:szCs w:val="28"/>
              </w:rPr>
            </w:pPr>
            <w:r w:rsidRPr="0039656C">
              <w:rPr>
                <w:sz w:val="28"/>
                <w:szCs w:val="28"/>
              </w:rPr>
              <w:t>€ 4,200,000</w:t>
            </w:r>
          </w:p>
        </w:tc>
      </w:tr>
      <w:tr w:rsidR="0039656C" w:rsidRPr="00B64820" w14:paraId="29270494" w14:textId="77777777" w:rsidTr="0039656C">
        <w:trPr>
          <w:tblCellSpacing w:w="15" w:type="dxa"/>
        </w:trPr>
        <w:tc>
          <w:tcPr>
            <w:tcW w:w="5053" w:type="dxa"/>
            <w:hideMark/>
          </w:tcPr>
          <w:p w14:paraId="79BA434D" w14:textId="3A8F5505" w:rsidR="0039656C" w:rsidRPr="0039656C" w:rsidRDefault="0039656C" w:rsidP="0039656C">
            <w:pPr>
              <w:pStyle w:val="NormalWeb"/>
              <w:rPr>
                <w:sz w:val="28"/>
                <w:szCs w:val="28"/>
              </w:rPr>
            </w:pPr>
            <w:r w:rsidRPr="0039656C">
              <w:rPr>
                <w:b/>
                <w:bCs/>
                <w:sz w:val="28"/>
                <w:szCs w:val="28"/>
              </w:rPr>
              <w:t>F) Fibre &amp; IT Systems</w:t>
            </w:r>
          </w:p>
        </w:tc>
        <w:tc>
          <w:tcPr>
            <w:tcW w:w="2507" w:type="dxa"/>
            <w:hideMark/>
          </w:tcPr>
          <w:p w14:paraId="79B4D39C" w14:textId="77777777" w:rsidR="0039656C" w:rsidRPr="0039656C" w:rsidRDefault="0039656C" w:rsidP="0039656C">
            <w:pPr>
              <w:pStyle w:val="NormalWeb"/>
              <w:rPr>
                <w:sz w:val="28"/>
                <w:szCs w:val="28"/>
              </w:rPr>
            </w:pPr>
          </w:p>
        </w:tc>
      </w:tr>
      <w:tr w:rsidR="0039656C" w:rsidRPr="00B64820" w14:paraId="7CE003F1" w14:textId="77777777" w:rsidTr="0039656C">
        <w:trPr>
          <w:tblCellSpacing w:w="15" w:type="dxa"/>
        </w:trPr>
        <w:tc>
          <w:tcPr>
            <w:tcW w:w="5053" w:type="dxa"/>
            <w:hideMark/>
          </w:tcPr>
          <w:p w14:paraId="58E773D0" w14:textId="2B39CF27" w:rsidR="0039656C" w:rsidRPr="0039656C" w:rsidRDefault="0039656C" w:rsidP="0039656C">
            <w:pPr>
              <w:pStyle w:val="NormalWeb"/>
              <w:rPr>
                <w:sz w:val="28"/>
                <w:szCs w:val="28"/>
              </w:rPr>
            </w:pPr>
            <w:r w:rsidRPr="0039656C">
              <w:rPr>
                <w:sz w:val="28"/>
                <w:szCs w:val="28"/>
              </w:rPr>
              <w:t>Fibre Backbone Installation</w:t>
            </w:r>
          </w:p>
        </w:tc>
        <w:tc>
          <w:tcPr>
            <w:tcW w:w="2507" w:type="dxa"/>
            <w:hideMark/>
          </w:tcPr>
          <w:p w14:paraId="4252C86E" w14:textId="44BFA351" w:rsidR="0039656C" w:rsidRPr="0039656C" w:rsidRDefault="0039656C" w:rsidP="0039656C">
            <w:pPr>
              <w:pStyle w:val="NormalWeb"/>
              <w:rPr>
                <w:sz w:val="28"/>
                <w:szCs w:val="28"/>
              </w:rPr>
            </w:pPr>
            <w:r w:rsidRPr="0039656C">
              <w:rPr>
                <w:sz w:val="28"/>
                <w:szCs w:val="28"/>
              </w:rPr>
              <w:t>€ 10,000,000</w:t>
            </w:r>
          </w:p>
        </w:tc>
      </w:tr>
      <w:tr w:rsidR="0039656C" w:rsidRPr="00B64820" w14:paraId="1F3E093C" w14:textId="77777777" w:rsidTr="0039656C">
        <w:trPr>
          <w:tblCellSpacing w:w="15" w:type="dxa"/>
        </w:trPr>
        <w:tc>
          <w:tcPr>
            <w:tcW w:w="5053" w:type="dxa"/>
            <w:hideMark/>
          </w:tcPr>
          <w:p w14:paraId="3904288A" w14:textId="38D5056A" w:rsidR="0039656C" w:rsidRPr="0039656C" w:rsidRDefault="0039656C" w:rsidP="0039656C">
            <w:pPr>
              <w:pStyle w:val="NormalWeb"/>
              <w:rPr>
                <w:sz w:val="28"/>
                <w:szCs w:val="28"/>
              </w:rPr>
            </w:pPr>
            <w:r w:rsidRPr="0039656C">
              <w:rPr>
                <w:sz w:val="28"/>
                <w:szCs w:val="28"/>
              </w:rPr>
              <w:t>Network Operations Centre Build-Out</w:t>
            </w:r>
          </w:p>
        </w:tc>
        <w:tc>
          <w:tcPr>
            <w:tcW w:w="2507" w:type="dxa"/>
            <w:hideMark/>
          </w:tcPr>
          <w:p w14:paraId="6F9416DD" w14:textId="56113043" w:rsidR="0039656C" w:rsidRPr="0039656C" w:rsidRDefault="0039656C" w:rsidP="0039656C">
            <w:pPr>
              <w:pStyle w:val="NormalWeb"/>
              <w:rPr>
                <w:sz w:val="28"/>
                <w:szCs w:val="28"/>
              </w:rPr>
            </w:pPr>
            <w:r w:rsidRPr="0039656C">
              <w:rPr>
                <w:sz w:val="28"/>
                <w:szCs w:val="28"/>
              </w:rPr>
              <w:t>€ 5,000,000</w:t>
            </w:r>
          </w:p>
        </w:tc>
      </w:tr>
      <w:tr w:rsidR="0039656C" w:rsidRPr="00B64820" w14:paraId="5C9CC1B6" w14:textId="77777777" w:rsidTr="0039656C">
        <w:trPr>
          <w:tblCellSpacing w:w="15" w:type="dxa"/>
        </w:trPr>
        <w:tc>
          <w:tcPr>
            <w:tcW w:w="5053" w:type="dxa"/>
            <w:hideMark/>
          </w:tcPr>
          <w:p w14:paraId="29F4FA78" w14:textId="6FFC8E69" w:rsidR="0039656C" w:rsidRPr="0039656C" w:rsidRDefault="0039656C" w:rsidP="0039656C">
            <w:pPr>
              <w:pStyle w:val="NormalWeb"/>
              <w:rPr>
                <w:sz w:val="28"/>
                <w:szCs w:val="28"/>
              </w:rPr>
            </w:pPr>
            <w:r w:rsidRPr="0039656C">
              <w:rPr>
                <w:sz w:val="28"/>
                <w:szCs w:val="28"/>
              </w:rPr>
              <w:t>Internal IT Infrastructure</w:t>
            </w:r>
          </w:p>
        </w:tc>
        <w:tc>
          <w:tcPr>
            <w:tcW w:w="2507" w:type="dxa"/>
            <w:hideMark/>
          </w:tcPr>
          <w:p w14:paraId="3639A5DC" w14:textId="09861542" w:rsidR="0039656C" w:rsidRPr="0039656C" w:rsidRDefault="0039656C" w:rsidP="0039656C">
            <w:pPr>
              <w:pStyle w:val="NormalWeb"/>
              <w:rPr>
                <w:sz w:val="28"/>
                <w:szCs w:val="28"/>
              </w:rPr>
            </w:pPr>
            <w:r w:rsidRPr="0039656C">
              <w:rPr>
                <w:sz w:val="28"/>
                <w:szCs w:val="28"/>
              </w:rPr>
              <w:t>€ 20,000,000</w:t>
            </w:r>
          </w:p>
        </w:tc>
      </w:tr>
      <w:tr w:rsidR="0039656C" w:rsidRPr="00B64820" w14:paraId="19F1FE93" w14:textId="77777777" w:rsidTr="0039656C">
        <w:trPr>
          <w:tblCellSpacing w:w="15" w:type="dxa"/>
        </w:trPr>
        <w:tc>
          <w:tcPr>
            <w:tcW w:w="5053" w:type="dxa"/>
            <w:hideMark/>
          </w:tcPr>
          <w:p w14:paraId="04C04654" w14:textId="71C09213" w:rsidR="0039656C" w:rsidRPr="0039656C" w:rsidRDefault="0039656C" w:rsidP="0039656C">
            <w:pPr>
              <w:pStyle w:val="NormalWeb"/>
              <w:rPr>
                <w:sz w:val="28"/>
                <w:szCs w:val="28"/>
              </w:rPr>
            </w:pPr>
            <w:r w:rsidRPr="0039656C">
              <w:rPr>
                <w:b/>
                <w:bCs/>
                <w:sz w:val="28"/>
                <w:szCs w:val="28"/>
              </w:rPr>
              <w:t>G) Professional Fees</w:t>
            </w:r>
          </w:p>
        </w:tc>
        <w:tc>
          <w:tcPr>
            <w:tcW w:w="2507" w:type="dxa"/>
            <w:hideMark/>
          </w:tcPr>
          <w:p w14:paraId="5F56A482" w14:textId="77777777" w:rsidR="0039656C" w:rsidRPr="0039656C" w:rsidRDefault="0039656C" w:rsidP="0039656C">
            <w:pPr>
              <w:pStyle w:val="NormalWeb"/>
              <w:rPr>
                <w:sz w:val="28"/>
                <w:szCs w:val="28"/>
              </w:rPr>
            </w:pPr>
          </w:p>
        </w:tc>
      </w:tr>
      <w:tr w:rsidR="0039656C" w:rsidRPr="00B64820" w14:paraId="6D8CFB20" w14:textId="77777777" w:rsidTr="0039656C">
        <w:trPr>
          <w:tblCellSpacing w:w="15" w:type="dxa"/>
        </w:trPr>
        <w:tc>
          <w:tcPr>
            <w:tcW w:w="5053" w:type="dxa"/>
            <w:hideMark/>
          </w:tcPr>
          <w:p w14:paraId="73BFFDBA" w14:textId="31CC2E2A" w:rsidR="0039656C" w:rsidRPr="0039656C" w:rsidRDefault="0039656C" w:rsidP="0039656C">
            <w:pPr>
              <w:pStyle w:val="NormalWeb"/>
              <w:rPr>
                <w:sz w:val="28"/>
                <w:szCs w:val="28"/>
              </w:rPr>
            </w:pPr>
            <w:r w:rsidRPr="0039656C">
              <w:rPr>
                <w:sz w:val="28"/>
                <w:szCs w:val="28"/>
              </w:rPr>
              <w:t>Architect</w:t>
            </w:r>
          </w:p>
        </w:tc>
        <w:tc>
          <w:tcPr>
            <w:tcW w:w="2507" w:type="dxa"/>
            <w:hideMark/>
          </w:tcPr>
          <w:p w14:paraId="2775CED8" w14:textId="6E9024DE" w:rsidR="0039656C" w:rsidRPr="0039656C" w:rsidRDefault="0039656C" w:rsidP="0039656C">
            <w:pPr>
              <w:pStyle w:val="NormalWeb"/>
              <w:rPr>
                <w:sz w:val="28"/>
                <w:szCs w:val="28"/>
              </w:rPr>
            </w:pPr>
            <w:r w:rsidRPr="0039656C">
              <w:rPr>
                <w:sz w:val="28"/>
                <w:szCs w:val="28"/>
              </w:rPr>
              <w:t>€ 4,000,000</w:t>
            </w:r>
          </w:p>
        </w:tc>
      </w:tr>
      <w:tr w:rsidR="0039656C" w:rsidRPr="00B64820" w14:paraId="5FEEC6FA" w14:textId="77777777" w:rsidTr="0039656C">
        <w:trPr>
          <w:tblCellSpacing w:w="15" w:type="dxa"/>
        </w:trPr>
        <w:tc>
          <w:tcPr>
            <w:tcW w:w="5053" w:type="dxa"/>
            <w:hideMark/>
          </w:tcPr>
          <w:p w14:paraId="548ADF7A" w14:textId="6DC92C6E" w:rsidR="0039656C" w:rsidRPr="0039656C" w:rsidRDefault="0039656C" w:rsidP="0039656C">
            <w:pPr>
              <w:pStyle w:val="NormalWeb"/>
              <w:rPr>
                <w:sz w:val="28"/>
                <w:szCs w:val="28"/>
              </w:rPr>
            </w:pPr>
            <w:r w:rsidRPr="0039656C">
              <w:rPr>
                <w:sz w:val="28"/>
                <w:szCs w:val="28"/>
              </w:rPr>
              <w:t>Project Management</w:t>
            </w:r>
          </w:p>
        </w:tc>
        <w:tc>
          <w:tcPr>
            <w:tcW w:w="2507" w:type="dxa"/>
            <w:hideMark/>
          </w:tcPr>
          <w:p w14:paraId="6EAC380A" w14:textId="6158D850" w:rsidR="0039656C" w:rsidRPr="0039656C" w:rsidRDefault="0039656C" w:rsidP="0039656C">
            <w:pPr>
              <w:pStyle w:val="NormalWeb"/>
              <w:rPr>
                <w:sz w:val="28"/>
                <w:szCs w:val="28"/>
              </w:rPr>
            </w:pPr>
            <w:r w:rsidRPr="0039656C">
              <w:rPr>
                <w:sz w:val="28"/>
                <w:szCs w:val="28"/>
              </w:rPr>
              <w:t>€ 5,500,000</w:t>
            </w:r>
          </w:p>
        </w:tc>
      </w:tr>
      <w:tr w:rsidR="0039656C" w:rsidRPr="00B64820" w14:paraId="3252F8F1" w14:textId="77777777" w:rsidTr="0039656C">
        <w:trPr>
          <w:tblCellSpacing w:w="15" w:type="dxa"/>
        </w:trPr>
        <w:tc>
          <w:tcPr>
            <w:tcW w:w="5053" w:type="dxa"/>
            <w:hideMark/>
          </w:tcPr>
          <w:p w14:paraId="66543BA9" w14:textId="51696322" w:rsidR="0039656C" w:rsidRPr="0039656C" w:rsidRDefault="0039656C" w:rsidP="0039656C">
            <w:pPr>
              <w:pStyle w:val="NormalWeb"/>
              <w:rPr>
                <w:sz w:val="28"/>
                <w:szCs w:val="28"/>
              </w:rPr>
            </w:pPr>
            <w:r w:rsidRPr="0039656C">
              <w:rPr>
                <w:sz w:val="28"/>
                <w:szCs w:val="28"/>
              </w:rPr>
              <w:t>Quantity Surveyor</w:t>
            </w:r>
          </w:p>
        </w:tc>
        <w:tc>
          <w:tcPr>
            <w:tcW w:w="2507" w:type="dxa"/>
            <w:hideMark/>
          </w:tcPr>
          <w:p w14:paraId="4881B03D" w14:textId="310D31F7" w:rsidR="0039656C" w:rsidRPr="0039656C" w:rsidRDefault="0039656C" w:rsidP="0039656C">
            <w:pPr>
              <w:pStyle w:val="NormalWeb"/>
              <w:rPr>
                <w:sz w:val="28"/>
                <w:szCs w:val="28"/>
              </w:rPr>
            </w:pPr>
            <w:r w:rsidRPr="0039656C">
              <w:rPr>
                <w:sz w:val="28"/>
                <w:szCs w:val="28"/>
              </w:rPr>
              <w:t>€ 2,000,000</w:t>
            </w:r>
          </w:p>
        </w:tc>
      </w:tr>
      <w:tr w:rsidR="0039656C" w:rsidRPr="00B64820" w14:paraId="27419F35" w14:textId="77777777" w:rsidTr="0039656C">
        <w:trPr>
          <w:tblCellSpacing w:w="15" w:type="dxa"/>
        </w:trPr>
        <w:tc>
          <w:tcPr>
            <w:tcW w:w="5053" w:type="dxa"/>
            <w:hideMark/>
          </w:tcPr>
          <w:p w14:paraId="3424F4CB" w14:textId="31F29C15" w:rsidR="0039656C" w:rsidRPr="0039656C" w:rsidRDefault="0039656C" w:rsidP="0039656C">
            <w:pPr>
              <w:pStyle w:val="NormalWeb"/>
              <w:rPr>
                <w:sz w:val="28"/>
                <w:szCs w:val="28"/>
              </w:rPr>
            </w:pPr>
            <w:r w:rsidRPr="0039656C">
              <w:rPr>
                <w:sz w:val="28"/>
                <w:szCs w:val="28"/>
              </w:rPr>
              <w:t>Legal Counsel</w:t>
            </w:r>
          </w:p>
        </w:tc>
        <w:tc>
          <w:tcPr>
            <w:tcW w:w="2507" w:type="dxa"/>
            <w:hideMark/>
          </w:tcPr>
          <w:p w14:paraId="08CFCEEA" w14:textId="0914C4E6" w:rsidR="0039656C" w:rsidRPr="0039656C" w:rsidRDefault="0039656C" w:rsidP="0039656C">
            <w:pPr>
              <w:pStyle w:val="NormalWeb"/>
              <w:rPr>
                <w:sz w:val="28"/>
                <w:szCs w:val="28"/>
              </w:rPr>
            </w:pPr>
            <w:r w:rsidRPr="0039656C">
              <w:rPr>
                <w:sz w:val="28"/>
                <w:szCs w:val="28"/>
              </w:rPr>
              <w:t>€ 1,000,000</w:t>
            </w:r>
          </w:p>
        </w:tc>
      </w:tr>
      <w:tr w:rsidR="0039656C" w:rsidRPr="00B64820" w14:paraId="4F21DCCC" w14:textId="77777777" w:rsidTr="0039656C">
        <w:trPr>
          <w:tblCellSpacing w:w="15" w:type="dxa"/>
        </w:trPr>
        <w:tc>
          <w:tcPr>
            <w:tcW w:w="5053" w:type="dxa"/>
            <w:hideMark/>
          </w:tcPr>
          <w:p w14:paraId="1B857093" w14:textId="2CCE3081" w:rsidR="0039656C" w:rsidRPr="0039656C" w:rsidRDefault="0039656C" w:rsidP="0039656C">
            <w:pPr>
              <w:pStyle w:val="NormalWeb"/>
              <w:rPr>
                <w:sz w:val="28"/>
                <w:szCs w:val="28"/>
              </w:rPr>
            </w:pPr>
            <w:r w:rsidRPr="0039656C">
              <w:rPr>
                <w:sz w:val="28"/>
                <w:szCs w:val="28"/>
              </w:rPr>
              <w:t>Independent Technical Advisor</w:t>
            </w:r>
          </w:p>
        </w:tc>
        <w:tc>
          <w:tcPr>
            <w:tcW w:w="2507" w:type="dxa"/>
            <w:hideMark/>
          </w:tcPr>
          <w:p w14:paraId="693C7358" w14:textId="709098A2" w:rsidR="0039656C" w:rsidRPr="0039656C" w:rsidRDefault="0039656C" w:rsidP="0039656C">
            <w:pPr>
              <w:pStyle w:val="NormalWeb"/>
              <w:rPr>
                <w:sz w:val="28"/>
                <w:szCs w:val="28"/>
              </w:rPr>
            </w:pPr>
            <w:r w:rsidRPr="0039656C">
              <w:rPr>
                <w:sz w:val="28"/>
                <w:szCs w:val="28"/>
              </w:rPr>
              <w:t>€ 5,000,000</w:t>
            </w:r>
          </w:p>
        </w:tc>
      </w:tr>
      <w:tr w:rsidR="0039656C" w:rsidRPr="00B64820" w14:paraId="2B472816" w14:textId="77777777" w:rsidTr="0039656C">
        <w:trPr>
          <w:tblCellSpacing w:w="15" w:type="dxa"/>
        </w:trPr>
        <w:tc>
          <w:tcPr>
            <w:tcW w:w="5053" w:type="dxa"/>
            <w:hideMark/>
          </w:tcPr>
          <w:p w14:paraId="6120522D" w14:textId="09141726" w:rsidR="0039656C" w:rsidRPr="0039656C" w:rsidRDefault="0039656C" w:rsidP="0039656C">
            <w:pPr>
              <w:pStyle w:val="NormalWeb"/>
              <w:rPr>
                <w:sz w:val="28"/>
                <w:szCs w:val="28"/>
              </w:rPr>
            </w:pPr>
            <w:r w:rsidRPr="0039656C">
              <w:rPr>
                <w:b/>
                <w:bCs/>
                <w:sz w:val="28"/>
                <w:szCs w:val="28"/>
              </w:rPr>
              <w:t>H) Delivery Reserves</w:t>
            </w:r>
          </w:p>
        </w:tc>
        <w:tc>
          <w:tcPr>
            <w:tcW w:w="2507" w:type="dxa"/>
            <w:hideMark/>
          </w:tcPr>
          <w:p w14:paraId="2FFD80E9" w14:textId="77777777" w:rsidR="0039656C" w:rsidRPr="0039656C" w:rsidRDefault="0039656C" w:rsidP="0039656C">
            <w:pPr>
              <w:pStyle w:val="NormalWeb"/>
              <w:rPr>
                <w:sz w:val="28"/>
                <w:szCs w:val="28"/>
              </w:rPr>
            </w:pPr>
          </w:p>
        </w:tc>
      </w:tr>
      <w:tr w:rsidR="0039656C" w:rsidRPr="00B64820" w14:paraId="3C4BB52D" w14:textId="77777777" w:rsidTr="0039656C">
        <w:trPr>
          <w:tblCellSpacing w:w="15" w:type="dxa"/>
        </w:trPr>
        <w:tc>
          <w:tcPr>
            <w:tcW w:w="5053" w:type="dxa"/>
            <w:hideMark/>
          </w:tcPr>
          <w:p w14:paraId="63D9ABBB" w14:textId="49FB6209" w:rsidR="0039656C" w:rsidRPr="0039656C" w:rsidRDefault="0039656C" w:rsidP="0039656C">
            <w:pPr>
              <w:pStyle w:val="NormalWeb"/>
              <w:rPr>
                <w:sz w:val="28"/>
                <w:szCs w:val="28"/>
              </w:rPr>
            </w:pPr>
            <w:r w:rsidRPr="0039656C">
              <w:rPr>
                <w:sz w:val="28"/>
                <w:szCs w:val="28"/>
              </w:rPr>
              <w:lastRenderedPageBreak/>
              <w:t>Development Contingency</w:t>
            </w:r>
          </w:p>
        </w:tc>
        <w:tc>
          <w:tcPr>
            <w:tcW w:w="2507" w:type="dxa"/>
            <w:hideMark/>
          </w:tcPr>
          <w:p w14:paraId="309E19AC" w14:textId="575A3346" w:rsidR="0039656C" w:rsidRPr="0039656C" w:rsidRDefault="0039656C" w:rsidP="0039656C">
            <w:pPr>
              <w:pStyle w:val="NormalWeb"/>
              <w:rPr>
                <w:sz w:val="28"/>
                <w:szCs w:val="28"/>
              </w:rPr>
            </w:pPr>
            <w:r w:rsidRPr="0039656C">
              <w:rPr>
                <w:sz w:val="28"/>
                <w:szCs w:val="28"/>
              </w:rPr>
              <w:t>€ 50,000,000</w:t>
            </w:r>
          </w:p>
        </w:tc>
      </w:tr>
      <w:tr w:rsidR="0039656C" w:rsidRPr="00B64820" w14:paraId="7A20FDD0" w14:textId="77777777" w:rsidTr="0039656C">
        <w:trPr>
          <w:tblCellSpacing w:w="15" w:type="dxa"/>
        </w:trPr>
        <w:tc>
          <w:tcPr>
            <w:tcW w:w="5053" w:type="dxa"/>
            <w:hideMark/>
          </w:tcPr>
          <w:p w14:paraId="3F724315" w14:textId="242E4C27" w:rsidR="0039656C" w:rsidRPr="0039656C" w:rsidRDefault="0039656C" w:rsidP="0039656C">
            <w:pPr>
              <w:pStyle w:val="NormalWeb"/>
              <w:rPr>
                <w:sz w:val="28"/>
                <w:szCs w:val="28"/>
              </w:rPr>
            </w:pPr>
            <w:r w:rsidRPr="0039656C">
              <w:rPr>
                <w:sz w:val="28"/>
                <w:szCs w:val="28"/>
              </w:rPr>
              <w:t>Construction Inflation Allowance</w:t>
            </w:r>
          </w:p>
        </w:tc>
        <w:tc>
          <w:tcPr>
            <w:tcW w:w="2507" w:type="dxa"/>
            <w:hideMark/>
          </w:tcPr>
          <w:p w14:paraId="1D845E43" w14:textId="00CDBF02" w:rsidR="0039656C" w:rsidRPr="0039656C" w:rsidRDefault="0039656C" w:rsidP="0039656C">
            <w:pPr>
              <w:pStyle w:val="NormalWeb"/>
              <w:rPr>
                <w:sz w:val="28"/>
                <w:szCs w:val="28"/>
              </w:rPr>
            </w:pPr>
            <w:r w:rsidRPr="0039656C">
              <w:rPr>
                <w:sz w:val="28"/>
                <w:szCs w:val="28"/>
              </w:rPr>
              <w:t>€ 40,000,000</w:t>
            </w:r>
          </w:p>
        </w:tc>
      </w:tr>
      <w:tr w:rsidR="0039656C" w:rsidRPr="00B64820" w14:paraId="74838CE9" w14:textId="77777777" w:rsidTr="0039656C">
        <w:trPr>
          <w:tblCellSpacing w:w="15" w:type="dxa"/>
        </w:trPr>
        <w:tc>
          <w:tcPr>
            <w:tcW w:w="5053" w:type="dxa"/>
            <w:hideMark/>
          </w:tcPr>
          <w:p w14:paraId="5EB60DB8" w14:textId="6430A103" w:rsidR="0039656C" w:rsidRPr="0039656C" w:rsidRDefault="0039656C" w:rsidP="0039656C">
            <w:pPr>
              <w:pStyle w:val="NormalWeb"/>
              <w:rPr>
                <w:sz w:val="28"/>
                <w:szCs w:val="28"/>
              </w:rPr>
            </w:pPr>
            <w:r w:rsidRPr="0039656C">
              <w:rPr>
                <w:sz w:val="28"/>
                <w:szCs w:val="28"/>
              </w:rPr>
              <w:t>Liquidated Damages Buffer</w:t>
            </w:r>
          </w:p>
        </w:tc>
        <w:tc>
          <w:tcPr>
            <w:tcW w:w="2507" w:type="dxa"/>
            <w:hideMark/>
          </w:tcPr>
          <w:p w14:paraId="0939411C" w14:textId="1AFEE29D" w:rsidR="0039656C" w:rsidRPr="0039656C" w:rsidRDefault="0039656C" w:rsidP="0039656C">
            <w:pPr>
              <w:pStyle w:val="NormalWeb"/>
              <w:rPr>
                <w:sz w:val="28"/>
                <w:szCs w:val="28"/>
              </w:rPr>
            </w:pPr>
            <w:r w:rsidRPr="0039656C">
              <w:rPr>
                <w:sz w:val="28"/>
                <w:szCs w:val="28"/>
              </w:rPr>
              <w:t>€ 3,500,000</w:t>
            </w:r>
          </w:p>
        </w:tc>
      </w:tr>
      <w:tr w:rsidR="0039656C" w:rsidRPr="00B64820" w14:paraId="157C4492" w14:textId="77777777" w:rsidTr="0039656C">
        <w:trPr>
          <w:tblCellSpacing w:w="15" w:type="dxa"/>
        </w:trPr>
        <w:tc>
          <w:tcPr>
            <w:tcW w:w="5053" w:type="dxa"/>
            <w:hideMark/>
          </w:tcPr>
          <w:p w14:paraId="75C1BA42" w14:textId="58880D1A" w:rsidR="0039656C" w:rsidRPr="0039656C" w:rsidRDefault="0039656C" w:rsidP="0039656C">
            <w:pPr>
              <w:pStyle w:val="NormalWeb"/>
              <w:rPr>
                <w:sz w:val="28"/>
                <w:szCs w:val="28"/>
              </w:rPr>
            </w:pPr>
            <w:r w:rsidRPr="0039656C">
              <w:rPr>
                <w:sz w:val="28"/>
                <w:szCs w:val="28"/>
              </w:rPr>
              <w:t>Insurance (CAR/DSU Premiums)</w:t>
            </w:r>
          </w:p>
        </w:tc>
        <w:tc>
          <w:tcPr>
            <w:tcW w:w="2507" w:type="dxa"/>
            <w:hideMark/>
          </w:tcPr>
          <w:p w14:paraId="24135A4F" w14:textId="13C45C43" w:rsidR="0039656C" w:rsidRPr="0039656C" w:rsidRDefault="0039656C" w:rsidP="0039656C">
            <w:pPr>
              <w:pStyle w:val="NormalWeb"/>
              <w:rPr>
                <w:sz w:val="28"/>
                <w:szCs w:val="28"/>
              </w:rPr>
            </w:pPr>
            <w:r w:rsidRPr="0039656C">
              <w:rPr>
                <w:sz w:val="28"/>
                <w:szCs w:val="28"/>
              </w:rPr>
              <w:t>€ 7,300,000</w:t>
            </w:r>
          </w:p>
        </w:tc>
      </w:tr>
      <w:tr w:rsidR="0039656C" w:rsidRPr="00B64820" w14:paraId="7717A730" w14:textId="77777777" w:rsidTr="0039656C">
        <w:trPr>
          <w:tblCellSpacing w:w="15" w:type="dxa"/>
        </w:trPr>
        <w:tc>
          <w:tcPr>
            <w:tcW w:w="5053" w:type="dxa"/>
            <w:hideMark/>
          </w:tcPr>
          <w:p w14:paraId="5B5F4D89" w14:textId="77AB5985" w:rsidR="0039656C" w:rsidRPr="0039656C" w:rsidRDefault="0039656C" w:rsidP="0039656C">
            <w:pPr>
              <w:pStyle w:val="NormalWeb"/>
              <w:rPr>
                <w:b/>
                <w:bCs/>
                <w:sz w:val="28"/>
                <w:szCs w:val="28"/>
              </w:rPr>
            </w:pPr>
            <w:r w:rsidRPr="0039656C">
              <w:rPr>
                <w:b/>
                <w:bCs/>
                <w:sz w:val="28"/>
                <w:szCs w:val="28"/>
              </w:rPr>
              <w:t>I) Certifications &amp; Overheads</w:t>
            </w:r>
          </w:p>
        </w:tc>
        <w:tc>
          <w:tcPr>
            <w:tcW w:w="2507" w:type="dxa"/>
            <w:hideMark/>
          </w:tcPr>
          <w:p w14:paraId="722E58F5" w14:textId="77777777" w:rsidR="0039656C" w:rsidRPr="0039656C" w:rsidRDefault="0039656C" w:rsidP="0039656C">
            <w:pPr>
              <w:pStyle w:val="NormalWeb"/>
              <w:rPr>
                <w:b/>
                <w:bCs/>
                <w:sz w:val="28"/>
                <w:szCs w:val="28"/>
              </w:rPr>
            </w:pPr>
          </w:p>
        </w:tc>
      </w:tr>
      <w:tr w:rsidR="0039656C" w:rsidRPr="00B64820" w14:paraId="2E5169D0" w14:textId="77777777" w:rsidTr="0039656C">
        <w:trPr>
          <w:tblCellSpacing w:w="15" w:type="dxa"/>
        </w:trPr>
        <w:tc>
          <w:tcPr>
            <w:tcW w:w="5053" w:type="dxa"/>
            <w:hideMark/>
          </w:tcPr>
          <w:p w14:paraId="6175C3C3" w14:textId="36081E4E" w:rsidR="0039656C" w:rsidRPr="0039656C" w:rsidRDefault="0039656C" w:rsidP="0039656C">
            <w:pPr>
              <w:pStyle w:val="NormalWeb"/>
              <w:rPr>
                <w:sz w:val="28"/>
                <w:szCs w:val="28"/>
              </w:rPr>
            </w:pPr>
            <w:r w:rsidRPr="0039656C">
              <w:rPr>
                <w:sz w:val="28"/>
                <w:szCs w:val="28"/>
              </w:rPr>
              <w:t>Certifications (LEED/Uptime/BREEAM)</w:t>
            </w:r>
          </w:p>
        </w:tc>
        <w:tc>
          <w:tcPr>
            <w:tcW w:w="2507" w:type="dxa"/>
            <w:hideMark/>
          </w:tcPr>
          <w:p w14:paraId="7DE3FC42" w14:textId="651053BB" w:rsidR="0039656C" w:rsidRPr="0039656C" w:rsidRDefault="0039656C" w:rsidP="0039656C">
            <w:pPr>
              <w:pStyle w:val="NormalWeb"/>
              <w:rPr>
                <w:sz w:val="28"/>
                <w:szCs w:val="28"/>
              </w:rPr>
            </w:pPr>
            <w:r w:rsidRPr="0039656C">
              <w:rPr>
                <w:sz w:val="28"/>
                <w:szCs w:val="28"/>
              </w:rPr>
              <w:t>€ 3,000,000</w:t>
            </w:r>
          </w:p>
        </w:tc>
      </w:tr>
      <w:tr w:rsidR="0039656C" w:rsidRPr="00B64820" w14:paraId="3F888F0C" w14:textId="77777777" w:rsidTr="0039656C">
        <w:trPr>
          <w:tblCellSpacing w:w="15" w:type="dxa"/>
        </w:trPr>
        <w:tc>
          <w:tcPr>
            <w:tcW w:w="5053" w:type="dxa"/>
            <w:hideMark/>
          </w:tcPr>
          <w:p w14:paraId="04551188" w14:textId="62B9379C" w:rsidR="0039656C" w:rsidRPr="0039656C" w:rsidRDefault="0039656C" w:rsidP="0039656C">
            <w:pPr>
              <w:pStyle w:val="NormalWeb"/>
              <w:rPr>
                <w:sz w:val="28"/>
                <w:szCs w:val="28"/>
              </w:rPr>
            </w:pPr>
            <w:r w:rsidRPr="0039656C">
              <w:rPr>
                <w:sz w:val="28"/>
                <w:szCs w:val="28"/>
              </w:rPr>
              <w:t>Internal Overheads &amp; Advisory</w:t>
            </w:r>
          </w:p>
        </w:tc>
        <w:tc>
          <w:tcPr>
            <w:tcW w:w="2507" w:type="dxa"/>
            <w:hideMark/>
          </w:tcPr>
          <w:p w14:paraId="4E8E2E07" w14:textId="268CFEFB" w:rsidR="0039656C" w:rsidRPr="0039656C" w:rsidRDefault="0039656C" w:rsidP="0039656C">
            <w:pPr>
              <w:pStyle w:val="NormalWeb"/>
              <w:rPr>
                <w:sz w:val="28"/>
                <w:szCs w:val="28"/>
              </w:rPr>
            </w:pPr>
            <w:r w:rsidRPr="0039656C">
              <w:rPr>
                <w:sz w:val="28"/>
                <w:szCs w:val="28"/>
              </w:rPr>
              <w:t>€ 10,500,000</w:t>
            </w:r>
          </w:p>
        </w:tc>
      </w:tr>
      <w:tr w:rsidR="0039656C" w:rsidRPr="00B64820" w14:paraId="7FBB157E" w14:textId="77777777" w:rsidTr="0039656C">
        <w:trPr>
          <w:tblCellSpacing w:w="15" w:type="dxa"/>
        </w:trPr>
        <w:tc>
          <w:tcPr>
            <w:tcW w:w="5053" w:type="dxa"/>
            <w:hideMark/>
          </w:tcPr>
          <w:p w14:paraId="74E4844A" w14:textId="56BF7270" w:rsidR="0039656C" w:rsidRPr="0039656C" w:rsidRDefault="0039656C" w:rsidP="0039656C">
            <w:pPr>
              <w:pStyle w:val="NormalWeb"/>
              <w:rPr>
                <w:b/>
                <w:bCs/>
                <w:sz w:val="28"/>
                <w:szCs w:val="28"/>
              </w:rPr>
            </w:pPr>
            <w:r w:rsidRPr="0039656C">
              <w:rPr>
                <w:b/>
                <w:bCs/>
                <w:sz w:val="28"/>
                <w:szCs w:val="28"/>
              </w:rPr>
              <w:t>TOTAL Build-Out (Hard + Soft Costs)</w:t>
            </w:r>
          </w:p>
        </w:tc>
        <w:tc>
          <w:tcPr>
            <w:tcW w:w="2507" w:type="dxa"/>
            <w:hideMark/>
          </w:tcPr>
          <w:p w14:paraId="7DB40F47" w14:textId="5FDB0124" w:rsidR="0039656C" w:rsidRPr="0039656C" w:rsidRDefault="0039656C" w:rsidP="0039656C">
            <w:pPr>
              <w:pStyle w:val="NormalWeb"/>
              <w:rPr>
                <w:b/>
                <w:bCs/>
                <w:sz w:val="28"/>
                <w:szCs w:val="28"/>
              </w:rPr>
            </w:pPr>
            <w:r w:rsidRPr="0039656C">
              <w:rPr>
                <w:b/>
                <w:bCs/>
                <w:sz w:val="28"/>
                <w:szCs w:val="28"/>
              </w:rPr>
              <w:t>€ 970,000,000</w:t>
            </w:r>
          </w:p>
        </w:tc>
      </w:tr>
    </w:tbl>
    <w:p w14:paraId="54C5032D" w14:textId="77777777" w:rsidR="000A5C33" w:rsidRPr="000A5C33" w:rsidRDefault="00FB624A" w:rsidP="000A5C33">
      <w:pPr>
        <w:pStyle w:val="NormalWeb"/>
        <w:rPr>
          <w:sz w:val="28"/>
          <w:szCs w:val="28"/>
        </w:rPr>
      </w:pPr>
      <w:r>
        <w:rPr>
          <w:sz w:val="28"/>
          <w:szCs w:val="28"/>
        </w:rPr>
        <w:pict w14:anchorId="233AF008">
          <v:rect id="_x0000_i1029" style="width:0;height:1.5pt" o:hralign="center" o:hrstd="t" o:hr="t" fillcolor="#a0a0a0" stroked="f"/>
        </w:pict>
      </w:r>
    </w:p>
    <w:p w14:paraId="2517C9DD" w14:textId="77777777" w:rsidR="000A5C33" w:rsidRPr="000A5C33" w:rsidRDefault="000A5C33" w:rsidP="000A5C33">
      <w:pPr>
        <w:pStyle w:val="NormalWeb"/>
        <w:rPr>
          <w:sz w:val="28"/>
          <w:szCs w:val="28"/>
        </w:rPr>
      </w:pPr>
      <w:r w:rsidRPr="000A5C33">
        <w:rPr>
          <w:b/>
          <w:bCs/>
          <w:sz w:val="28"/>
          <w:szCs w:val="28"/>
        </w:rPr>
        <w:t>1.5 Gross Revenue &amp; NOI Inputs</w:t>
      </w:r>
    </w:p>
    <w:p w14:paraId="1CA7E812" w14:textId="2ABE4B15"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Gross Rent Annualised:</w:t>
      </w:r>
      <w:r w:rsidRPr="000A5C33">
        <w:rPr>
          <w:sz w:val="28"/>
          <w:szCs w:val="28"/>
        </w:rPr>
        <w:br/>
        <w:t>€1</w:t>
      </w:r>
      <w:r w:rsidR="00942E54">
        <w:rPr>
          <w:sz w:val="28"/>
          <w:szCs w:val="28"/>
        </w:rPr>
        <w:t>36,00</w:t>
      </w:r>
      <w:r w:rsidRPr="000A5C33">
        <w:rPr>
          <w:sz w:val="28"/>
          <w:szCs w:val="28"/>
        </w:rPr>
        <w:t>0,000/year</w:t>
      </w:r>
    </w:p>
    <w:p w14:paraId="707ECAA3" w14:textId="2C444CB2"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 xml:space="preserve">OPEX (Excl. </w:t>
      </w:r>
      <w:r w:rsidR="00942E54">
        <w:rPr>
          <w:b/>
          <w:bCs/>
          <w:sz w:val="28"/>
          <w:szCs w:val="28"/>
        </w:rPr>
        <w:t xml:space="preserve">Client </w:t>
      </w:r>
      <w:r w:rsidRPr="000A5C33">
        <w:rPr>
          <w:b/>
          <w:bCs/>
          <w:sz w:val="28"/>
          <w:szCs w:val="28"/>
        </w:rPr>
        <w:t>Power):</w:t>
      </w:r>
      <w:r w:rsidRPr="000A5C33">
        <w:rPr>
          <w:sz w:val="28"/>
          <w:szCs w:val="28"/>
        </w:rPr>
        <w:br/>
        <w:t>€</w:t>
      </w:r>
      <w:r w:rsidR="00942E54">
        <w:rPr>
          <w:sz w:val="28"/>
          <w:szCs w:val="28"/>
        </w:rPr>
        <w:t>36,000</w:t>
      </w:r>
      <w:r w:rsidRPr="000A5C33">
        <w:rPr>
          <w:sz w:val="28"/>
          <w:szCs w:val="28"/>
        </w:rPr>
        <w:t>,000/year</w:t>
      </w:r>
      <w:r w:rsidRPr="000A5C33">
        <w:rPr>
          <w:sz w:val="28"/>
          <w:szCs w:val="28"/>
        </w:rPr>
        <w:br/>
        <w:t>(€</w:t>
      </w:r>
      <w:r w:rsidR="00942E54">
        <w:rPr>
          <w:sz w:val="28"/>
          <w:szCs w:val="28"/>
        </w:rPr>
        <w:t>400</w:t>
      </w:r>
      <w:r w:rsidRPr="000A5C33">
        <w:rPr>
          <w:sz w:val="28"/>
          <w:szCs w:val="28"/>
        </w:rPr>
        <w:t>,000 per MW/year)</w:t>
      </w:r>
    </w:p>
    <w:p w14:paraId="4B30AFB9" w14:textId="50E644B8"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Net Operating Income (NOI):</w:t>
      </w:r>
      <w:r w:rsidRPr="000A5C33">
        <w:rPr>
          <w:sz w:val="28"/>
          <w:szCs w:val="28"/>
        </w:rPr>
        <w:br/>
        <w:t>€10</w:t>
      </w:r>
      <w:r w:rsidR="00942E54">
        <w:rPr>
          <w:sz w:val="28"/>
          <w:szCs w:val="28"/>
        </w:rPr>
        <w:t>0</w:t>
      </w:r>
      <w:r w:rsidRPr="000A5C33">
        <w:rPr>
          <w:sz w:val="28"/>
          <w:szCs w:val="28"/>
        </w:rPr>
        <w:t>,</w:t>
      </w:r>
      <w:r w:rsidR="00942E54">
        <w:rPr>
          <w:sz w:val="28"/>
          <w:szCs w:val="28"/>
        </w:rPr>
        <w:t>00</w:t>
      </w:r>
      <w:r w:rsidRPr="000A5C33">
        <w:rPr>
          <w:sz w:val="28"/>
          <w:szCs w:val="28"/>
        </w:rPr>
        <w:t>0,000/year</w:t>
      </w:r>
    </w:p>
    <w:p w14:paraId="25D22440" w14:textId="77777777" w:rsidR="000A5C33" w:rsidRPr="000A5C33" w:rsidRDefault="00FB624A" w:rsidP="000A5C33">
      <w:pPr>
        <w:pStyle w:val="NormalWeb"/>
        <w:rPr>
          <w:sz w:val="28"/>
          <w:szCs w:val="28"/>
        </w:rPr>
      </w:pPr>
      <w:r>
        <w:rPr>
          <w:sz w:val="28"/>
          <w:szCs w:val="28"/>
        </w:rPr>
        <w:pict w14:anchorId="271736C1">
          <v:rect id="_x0000_i1030" style="width:0;height:1.5pt" o:hralign="center" o:hrstd="t" o:hr="t" fillcolor="#a0a0a0" stroked="f"/>
        </w:pict>
      </w:r>
    </w:p>
    <w:p w14:paraId="09C56F23" w14:textId="77777777" w:rsidR="000A5C33" w:rsidRPr="000A5C33" w:rsidRDefault="000A5C33" w:rsidP="000A5C33">
      <w:pPr>
        <w:pStyle w:val="NormalWeb"/>
        <w:rPr>
          <w:sz w:val="28"/>
          <w:szCs w:val="28"/>
        </w:rPr>
      </w:pPr>
      <w:r w:rsidRPr="000A5C33">
        <w:rPr>
          <w:b/>
          <w:bCs/>
          <w:sz w:val="28"/>
          <w:szCs w:val="28"/>
        </w:rPr>
        <w:t>1.6 Institutional Benchmark Validation</w:t>
      </w:r>
    </w:p>
    <w:p w14:paraId="76455AEB" w14:textId="77777777"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 xml:space="preserve">Revenue </w:t>
      </w:r>
      <w:proofErr w:type="spellStart"/>
      <w:r w:rsidRPr="000A5C33">
        <w:rPr>
          <w:b/>
          <w:bCs/>
          <w:sz w:val="28"/>
          <w:szCs w:val="28"/>
        </w:rPr>
        <w:t>Comparables</w:t>
      </w:r>
      <w:proofErr w:type="spellEnd"/>
      <w:r w:rsidRPr="000A5C33">
        <w:rPr>
          <w:b/>
          <w:bCs/>
          <w:sz w:val="28"/>
          <w:szCs w:val="28"/>
        </w:rPr>
        <w:t xml:space="preserve"> (€ per kW/month):</w:t>
      </w:r>
    </w:p>
    <w:p w14:paraId="5DBDD4F7" w14:textId="77777777" w:rsidR="000A5C33" w:rsidRPr="000A5C33" w:rsidRDefault="000A5C33" w:rsidP="000A5C33">
      <w:pPr>
        <w:pStyle w:val="NormalWeb"/>
        <w:numPr>
          <w:ilvl w:val="0"/>
          <w:numId w:val="31"/>
        </w:numPr>
        <w:rPr>
          <w:sz w:val="28"/>
          <w:szCs w:val="28"/>
        </w:rPr>
      </w:pPr>
      <w:r w:rsidRPr="000A5C33">
        <w:rPr>
          <w:sz w:val="28"/>
          <w:szCs w:val="28"/>
        </w:rPr>
        <w:t>CBRE North America: ~€167</w:t>
      </w:r>
    </w:p>
    <w:p w14:paraId="56A001A3" w14:textId="77777777" w:rsidR="000A5C33" w:rsidRPr="000A5C33" w:rsidRDefault="000A5C33" w:rsidP="000A5C33">
      <w:pPr>
        <w:pStyle w:val="NormalWeb"/>
        <w:numPr>
          <w:ilvl w:val="0"/>
          <w:numId w:val="31"/>
        </w:numPr>
        <w:rPr>
          <w:sz w:val="28"/>
          <w:szCs w:val="28"/>
        </w:rPr>
      </w:pPr>
      <w:r w:rsidRPr="000A5C33">
        <w:rPr>
          <w:sz w:val="28"/>
          <w:szCs w:val="28"/>
        </w:rPr>
        <w:t>Cushman &amp; Wakefield Europe: €115–125</w:t>
      </w:r>
    </w:p>
    <w:p w14:paraId="536BB85C" w14:textId="394BDD86" w:rsidR="000A5C33" w:rsidRPr="000A5C33" w:rsidRDefault="0091634E" w:rsidP="000A5C33">
      <w:pPr>
        <w:pStyle w:val="NormalWeb"/>
        <w:numPr>
          <w:ilvl w:val="0"/>
          <w:numId w:val="31"/>
        </w:numPr>
        <w:rPr>
          <w:sz w:val="28"/>
          <w:szCs w:val="28"/>
        </w:rPr>
      </w:pPr>
      <w:r>
        <w:rPr>
          <w:sz w:val="28"/>
          <w:szCs w:val="28"/>
        </w:rPr>
        <w:t>DARK DATA COMPANY LTD</w:t>
      </w:r>
      <w:r w:rsidR="000A5C33" w:rsidRPr="000A5C33">
        <w:rPr>
          <w:sz w:val="28"/>
          <w:szCs w:val="28"/>
        </w:rPr>
        <w:t xml:space="preserve"> Rent Applied: €</w:t>
      </w:r>
      <w:r w:rsidR="009709E8">
        <w:rPr>
          <w:sz w:val="28"/>
          <w:szCs w:val="28"/>
        </w:rPr>
        <w:t>127 (Average)</w:t>
      </w:r>
    </w:p>
    <w:p w14:paraId="668C7BB5" w14:textId="77777777"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 xml:space="preserve">OPEX </w:t>
      </w:r>
      <w:proofErr w:type="spellStart"/>
      <w:r w:rsidRPr="000A5C33">
        <w:rPr>
          <w:b/>
          <w:bCs/>
          <w:sz w:val="28"/>
          <w:szCs w:val="28"/>
        </w:rPr>
        <w:t>Comparables</w:t>
      </w:r>
      <w:proofErr w:type="spellEnd"/>
      <w:r w:rsidRPr="000A5C33">
        <w:rPr>
          <w:b/>
          <w:bCs/>
          <w:sz w:val="28"/>
          <w:szCs w:val="28"/>
        </w:rPr>
        <w:t xml:space="preserve"> (Non-Power):</w:t>
      </w:r>
    </w:p>
    <w:p w14:paraId="3672CA3D" w14:textId="05D1E8E3" w:rsidR="000A5C33" w:rsidRPr="000A5C33" w:rsidRDefault="000A5C33" w:rsidP="000A5C33">
      <w:pPr>
        <w:pStyle w:val="NormalWeb"/>
        <w:numPr>
          <w:ilvl w:val="0"/>
          <w:numId w:val="32"/>
        </w:numPr>
        <w:rPr>
          <w:sz w:val="28"/>
          <w:szCs w:val="28"/>
        </w:rPr>
      </w:pPr>
      <w:r w:rsidRPr="000A5C33">
        <w:rPr>
          <w:sz w:val="28"/>
          <w:szCs w:val="28"/>
        </w:rPr>
        <w:t>Industry Range: 1</w:t>
      </w:r>
      <w:r w:rsidR="00942E54">
        <w:rPr>
          <w:sz w:val="28"/>
          <w:szCs w:val="28"/>
        </w:rPr>
        <w:t>5</w:t>
      </w:r>
      <w:r w:rsidRPr="000A5C33">
        <w:rPr>
          <w:sz w:val="28"/>
          <w:szCs w:val="28"/>
        </w:rPr>
        <w:t>–</w:t>
      </w:r>
      <w:r w:rsidR="00942E54">
        <w:rPr>
          <w:sz w:val="28"/>
          <w:szCs w:val="28"/>
        </w:rPr>
        <w:t>30</w:t>
      </w:r>
      <w:r w:rsidRPr="000A5C33">
        <w:rPr>
          <w:sz w:val="28"/>
          <w:szCs w:val="28"/>
        </w:rPr>
        <w:t>% of gross revenue</w:t>
      </w:r>
    </w:p>
    <w:p w14:paraId="6CC546D2" w14:textId="60E0003D" w:rsidR="000A5C33" w:rsidRPr="000A5C33" w:rsidRDefault="0091634E" w:rsidP="000A5C33">
      <w:pPr>
        <w:pStyle w:val="NormalWeb"/>
        <w:numPr>
          <w:ilvl w:val="0"/>
          <w:numId w:val="32"/>
        </w:numPr>
        <w:rPr>
          <w:sz w:val="28"/>
          <w:szCs w:val="28"/>
        </w:rPr>
      </w:pPr>
      <w:r>
        <w:rPr>
          <w:sz w:val="28"/>
          <w:szCs w:val="28"/>
        </w:rPr>
        <w:t>DARK DATA COMPANY LTD</w:t>
      </w:r>
      <w:r w:rsidR="000A5C33" w:rsidRPr="000A5C33">
        <w:rPr>
          <w:sz w:val="28"/>
          <w:szCs w:val="28"/>
        </w:rPr>
        <w:t xml:space="preserve"> Level: </w:t>
      </w:r>
      <w:r w:rsidR="00942E54">
        <w:rPr>
          <w:sz w:val="28"/>
          <w:szCs w:val="28"/>
        </w:rPr>
        <w:t>25</w:t>
      </w:r>
      <w:r w:rsidR="000A5C33" w:rsidRPr="000A5C33">
        <w:rPr>
          <w:sz w:val="28"/>
          <w:szCs w:val="28"/>
        </w:rPr>
        <w:t>% of revenue</w:t>
      </w:r>
    </w:p>
    <w:p w14:paraId="673ADD20" w14:textId="77777777" w:rsidR="000A5C33" w:rsidRPr="000A5C33" w:rsidRDefault="000A5C33" w:rsidP="000A5C33">
      <w:pPr>
        <w:pStyle w:val="NormalWeb"/>
        <w:rPr>
          <w:sz w:val="28"/>
          <w:szCs w:val="28"/>
        </w:rPr>
      </w:pPr>
      <w:r w:rsidRPr="000A5C33">
        <w:rPr>
          <w:rFonts w:ascii="Segoe UI Symbol" w:hAnsi="Segoe UI Symbol" w:cs="Segoe UI Symbol"/>
          <w:sz w:val="28"/>
          <w:szCs w:val="28"/>
        </w:rPr>
        <w:lastRenderedPageBreak/>
        <w:t>☑</w:t>
      </w:r>
      <w:r w:rsidRPr="000A5C33">
        <w:rPr>
          <w:sz w:val="28"/>
          <w:szCs w:val="28"/>
        </w:rPr>
        <w:t xml:space="preserve"> </w:t>
      </w:r>
      <w:r w:rsidRPr="000A5C33">
        <w:rPr>
          <w:b/>
          <w:bCs/>
          <w:sz w:val="28"/>
          <w:szCs w:val="28"/>
        </w:rPr>
        <w:t>OPEX Including Power (for reference):</w:t>
      </w:r>
    </w:p>
    <w:p w14:paraId="5841F1C2" w14:textId="2EAD1D24" w:rsidR="000A5C33" w:rsidRPr="000A5C33" w:rsidRDefault="00942E54" w:rsidP="00942E54">
      <w:pPr>
        <w:pStyle w:val="NormalWeb"/>
        <w:rPr>
          <w:sz w:val="28"/>
          <w:szCs w:val="28"/>
        </w:rPr>
      </w:pPr>
      <w:r>
        <w:rPr>
          <w:sz w:val="28"/>
          <w:szCs w:val="28"/>
        </w:rPr>
        <w:t>Ratio dependent on PUE, at 1.20 PUE, client pays 83%</w:t>
      </w:r>
    </w:p>
    <w:p w14:paraId="0089D680" w14:textId="73F0D419"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Total Build Cost per MW:</w:t>
      </w:r>
      <w:r w:rsidRPr="000A5C33">
        <w:rPr>
          <w:sz w:val="28"/>
          <w:szCs w:val="28"/>
        </w:rPr>
        <w:br/>
        <w:t>€</w:t>
      </w:r>
      <w:r w:rsidR="00942E54">
        <w:rPr>
          <w:sz w:val="28"/>
          <w:szCs w:val="28"/>
        </w:rPr>
        <w:t>10.3</w:t>
      </w:r>
      <w:r w:rsidRPr="000A5C33">
        <w:rPr>
          <w:sz w:val="28"/>
          <w:szCs w:val="28"/>
        </w:rPr>
        <w:t>M/MW</w:t>
      </w:r>
      <w:r w:rsidRPr="000A5C33">
        <w:rPr>
          <w:sz w:val="28"/>
          <w:szCs w:val="28"/>
        </w:rPr>
        <w:br/>
        <w:t>(Global institutional range: €</w:t>
      </w:r>
      <w:r w:rsidR="00942E54">
        <w:rPr>
          <w:sz w:val="28"/>
          <w:szCs w:val="28"/>
        </w:rPr>
        <w:t>10</w:t>
      </w:r>
      <w:r w:rsidRPr="000A5C33">
        <w:rPr>
          <w:sz w:val="28"/>
          <w:szCs w:val="28"/>
        </w:rPr>
        <w:t>M – €1</w:t>
      </w:r>
      <w:r w:rsidR="00942E54">
        <w:rPr>
          <w:sz w:val="28"/>
          <w:szCs w:val="28"/>
        </w:rPr>
        <w:t>5</w:t>
      </w:r>
      <w:r w:rsidRPr="000A5C33">
        <w:rPr>
          <w:sz w:val="28"/>
          <w:szCs w:val="28"/>
        </w:rPr>
        <w:t>M per MW depending on jurisdiction)</w:t>
      </w:r>
    </w:p>
    <w:p w14:paraId="42F6A4EC" w14:textId="77777777" w:rsidR="000A5C33" w:rsidRPr="000A5C33" w:rsidRDefault="00FB624A" w:rsidP="000A5C33">
      <w:pPr>
        <w:pStyle w:val="NormalWeb"/>
        <w:rPr>
          <w:sz w:val="28"/>
          <w:szCs w:val="28"/>
        </w:rPr>
      </w:pPr>
      <w:r>
        <w:rPr>
          <w:sz w:val="28"/>
          <w:szCs w:val="28"/>
        </w:rPr>
        <w:pict w14:anchorId="409C4768">
          <v:rect id="_x0000_i1031" style="width:0;height:1.5pt" o:hralign="center" o:hrstd="t" o:hr="t" fillcolor="#a0a0a0" stroked="f"/>
        </w:pict>
      </w:r>
    </w:p>
    <w:p w14:paraId="0B21C2F6" w14:textId="77777777" w:rsidR="000A5C33" w:rsidRPr="000A5C33" w:rsidRDefault="000A5C33" w:rsidP="000A5C33">
      <w:pPr>
        <w:pStyle w:val="NormalWeb"/>
        <w:rPr>
          <w:sz w:val="28"/>
          <w:szCs w:val="28"/>
        </w:rPr>
      </w:pPr>
      <w:r w:rsidRPr="000A5C33">
        <w:rPr>
          <w:b/>
          <w:bCs/>
          <w:sz w:val="28"/>
          <w:szCs w:val="28"/>
        </w:rPr>
        <w:t>1.7 Delivery Timeline</w:t>
      </w:r>
    </w:p>
    <w:p w14:paraId="2941126A" w14:textId="540DC3CC"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Construction Start Date:</w:t>
      </w:r>
      <w:r w:rsidRPr="000A5C33">
        <w:rPr>
          <w:sz w:val="28"/>
          <w:szCs w:val="28"/>
        </w:rPr>
        <w:br/>
      </w:r>
      <w:r w:rsidR="00942E54">
        <w:rPr>
          <w:sz w:val="28"/>
          <w:szCs w:val="28"/>
        </w:rPr>
        <w:t>5</w:t>
      </w:r>
      <w:r w:rsidRPr="000A5C33">
        <w:rPr>
          <w:sz w:val="28"/>
          <w:szCs w:val="28"/>
        </w:rPr>
        <w:t xml:space="preserve"> January 202</w:t>
      </w:r>
      <w:r w:rsidR="00942E54">
        <w:rPr>
          <w:sz w:val="28"/>
          <w:szCs w:val="28"/>
        </w:rPr>
        <w:t>6</w:t>
      </w:r>
    </w:p>
    <w:p w14:paraId="406C2514" w14:textId="5B18F81F"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Practical Completion Date:</w:t>
      </w:r>
      <w:r w:rsidRPr="000A5C33">
        <w:rPr>
          <w:sz w:val="28"/>
          <w:szCs w:val="28"/>
        </w:rPr>
        <w:br/>
      </w:r>
      <w:r w:rsidR="00942E54">
        <w:rPr>
          <w:sz w:val="28"/>
          <w:szCs w:val="28"/>
        </w:rPr>
        <w:t>4 January 2027</w:t>
      </w:r>
    </w:p>
    <w:p w14:paraId="0FD74F6E" w14:textId="2AB4962D"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Commercial Operation Date (COD):</w:t>
      </w:r>
      <w:r w:rsidRPr="000A5C33">
        <w:rPr>
          <w:sz w:val="28"/>
          <w:szCs w:val="28"/>
        </w:rPr>
        <w:br/>
        <w:t xml:space="preserve">1 </w:t>
      </w:r>
      <w:r w:rsidR="00942E54">
        <w:rPr>
          <w:sz w:val="28"/>
          <w:szCs w:val="28"/>
        </w:rPr>
        <w:t>February 2027</w:t>
      </w:r>
    </w:p>
    <w:p w14:paraId="520ED64C" w14:textId="77777777" w:rsidR="000A5C33" w:rsidRPr="000A5C33" w:rsidRDefault="00FB624A" w:rsidP="000A5C33">
      <w:pPr>
        <w:pStyle w:val="NormalWeb"/>
        <w:rPr>
          <w:sz w:val="28"/>
          <w:szCs w:val="28"/>
        </w:rPr>
      </w:pPr>
      <w:r>
        <w:rPr>
          <w:sz w:val="28"/>
          <w:szCs w:val="28"/>
        </w:rPr>
        <w:pict w14:anchorId="466C2A96">
          <v:rect id="_x0000_i1032" style="width:0;height:1.5pt" o:hralign="center" o:hrstd="t" o:hr="t" fillcolor="#a0a0a0" stroked="f"/>
        </w:pict>
      </w:r>
    </w:p>
    <w:p w14:paraId="1E400950" w14:textId="77777777" w:rsidR="000A5C33" w:rsidRPr="000A5C33" w:rsidRDefault="000A5C33" w:rsidP="000A5C33">
      <w:pPr>
        <w:pStyle w:val="NormalWeb"/>
        <w:rPr>
          <w:sz w:val="28"/>
          <w:szCs w:val="28"/>
        </w:rPr>
      </w:pPr>
      <w:r w:rsidRPr="000A5C33">
        <w:rPr>
          <w:b/>
          <w:bCs/>
          <w:sz w:val="28"/>
          <w:szCs w:val="28"/>
        </w:rPr>
        <w:t>1.8 Developer Funding Profile</w:t>
      </w:r>
    </w:p>
    <w:p w14:paraId="19B20487" w14:textId="77777777"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Developer Equity Committed:</w:t>
      </w:r>
      <w:r w:rsidRPr="000A5C33">
        <w:rPr>
          <w:sz w:val="28"/>
          <w:szCs w:val="28"/>
        </w:rPr>
        <w:br/>
        <w:t>€0 (fully funded externally)</w:t>
      </w:r>
    </w:p>
    <w:p w14:paraId="5D6466F0" w14:textId="77777777"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Developer Profit Payment Timing:</w:t>
      </w:r>
      <w:r w:rsidRPr="000A5C33">
        <w:rPr>
          <w:sz w:val="28"/>
          <w:szCs w:val="28"/>
        </w:rPr>
        <w:br/>
        <w:t>Payable at COD</w:t>
      </w:r>
    </w:p>
    <w:p w14:paraId="6FCDF25B" w14:textId="71072EBB"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External Funding Sought:</w:t>
      </w:r>
      <w:r w:rsidRPr="000A5C33">
        <w:rPr>
          <w:sz w:val="28"/>
          <w:szCs w:val="28"/>
        </w:rPr>
        <w:br/>
        <w:t>€1,</w:t>
      </w:r>
      <w:r w:rsidR="00942E54">
        <w:rPr>
          <w:sz w:val="28"/>
          <w:szCs w:val="28"/>
        </w:rPr>
        <w:t>058</w:t>
      </w:r>
      <w:r w:rsidRPr="000A5C33">
        <w:rPr>
          <w:sz w:val="28"/>
          <w:szCs w:val="28"/>
        </w:rPr>
        <w:t>,000,000</w:t>
      </w:r>
    </w:p>
    <w:p w14:paraId="48508C29" w14:textId="77777777" w:rsidR="000A5C33" w:rsidRPr="000A5C33" w:rsidRDefault="00FB624A" w:rsidP="000A5C33">
      <w:pPr>
        <w:pStyle w:val="NormalWeb"/>
        <w:rPr>
          <w:sz w:val="28"/>
          <w:szCs w:val="28"/>
        </w:rPr>
      </w:pPr>
      <w:r>
        <w:rPr>
          <w:sz w:val="28"/>
          <w:szCs w:val="28"/>
        </w:rPr>
        <w:pict w14:anchorId="3EAA931C">
          <v:rect id="_x0000_i1033" style="width:0;height:1.5pt" o:hralign="center" o:hrstd="t" o:hr="t" fillcolor="#a0a0a0" stroked="f"/>
        </w:pict>
      </w:r>
    </w:p>
    <w:p w14:paraId="3C87D853" w14:textId="68AF8971" w:rsidR="000A5C33" w:rsidRPr="000A5C33" w:rsidRDefault="000A5C33" w:rsidP="000A5C33">
      <w:pPr>
        <w:pStyle w:val="NormalWeb"/>
        <w:rPr>
          <w:b/>
          <w:bCs/>
          <w:sz w:val="28"/>
          <w:szCs w:val="28"/>
        </w:rPr>
      </w:pPr>
      <w:r w:rsidRPr="000A5C33">
        <w:rPr>
          <w:b/>
          <w:bCs/>
          <w:sz w:val="28"/>
          <w:szCs w:val="28"/>
        </w:rPr>
        <w:t xml:space="preserve">SECTION </w:t>
      </w:r>
      <w:r w:rsidRPr="00B64820">
        <w:rPr>
          <w:b/>
          <w:bCs/>
          <w:sz w:val="28"/>
          <w:szCs w:val="28"/>
        </w:rPr>
        <w:t>2</w:t>
      </w:r>
      <w:r w:rsidRPr="000A5C33">
        <w:rPr>
          <w:b/>
          <w:bCs/>
          <w:sz w:val="28"/>
          <w:szCs w:val="28"/>
        </w:rPr>
        <w:t xml:space="preserve"> — </w:t>
      </w:r>
      <w:r w:rsidRPr="00B64820">
        <w:rPr>
          <w:b/>
          <w:bCs/>
          <w:sz w:val="28"/>
          <w:szCs w:val="28"/>
        </w:rPr>
        <w:t>Additional Notes/Information</w:t>
      </w:r>
    </w:p>
    <w:p w14:paraId="1E40F1C5" w14:textId="77777777" w:rsidR="000A5C33" w:rsidRDefault="000A5C33" w:rsidP="000A5C33">
      <w:pPr>
        <w:pStyle w:val="NormalWeb"/>
        <w:rPr>
          <w:b/>
          <w:bCs/>
          <w:sz w:val="28"/>
          <w:szCs w:val="28"/>
        </w:rPr>
      </w:pPr>
    </w:p>
    <w:p w14:paraId="597751E5" w14:textId="77777777" w:rsidR="00F30990" w:rsidRPr="00B64820" w:rsidRDefault="00F30990" w:rsidP="000A5C33">
      <w:pPr>
        <w:pStyle w:val="NormalWeb"/>
        <w:rPr>
          <w:b/>
          <w:bCs/>
          <w:sz w:val="28"/>
          <w:szCs w:val="28"/>
        </w:rPr>
      </w:pPr>
    </w:p>
    <w:p w14:paraId="551DE30D" w14:textId="67D94088" w:rsidR="000A5C33" w:rsidRPr="000A5C33" w:rsidRDefault="000A5C33" w:rsidP="000A5C33">
      <w:pPr>
        <w:pStyle w:val="NormalWeb"/>
        <w:rPr>
          <w:sz w:val="28"/>
          <w:szCs w:val="28"/>
        </w:rPr>
      </w:pPr>
      <w:r w:rsidRPr="00B64820">
        <w:rPr>
          <w:b/>
          <w:bCs/>
          <w:sz w:val="28"/>
          <w:szCs w:val="28"/>
        </w:rPr>
        <w:t>2.1</w:t>
      </w:r>
      <w:r w:rsidRPr="000A5C33">
        <w:rPr>
          <w:b/>
          <w:bCs/>
          <w:sz w:val="28"/>
          <w:szCs w:val="28"/>
        </w:rPr>
        <w:t xml:space="preserve"> Institutional Readiness Confirmations</w:t>
      </w:r>
    </w:p>
    <w:p w14:paraId="769C419C" w14:textId="77777777"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Institutional Structuring Appointment:</w:t>
      </w:r>
      <w:r w:rsidRPr="000A5C33">
        <w:rPr>
          <w:sz w:val="28"/>
          <w:szCs w:val="28"/>
        </w:rPr>
        <w:br/>
        <w:t>Confirmed — RED AMC &amp; TBC</w:t>
      </w:r>
    </w:p>
    <w:p w14:paraId="638E0058" w14:textId="198D59E9" w:rsidR="000A5C33" w:rsidRPr="000A5C33"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Structuring Control:</w:t>
      </w:r>
      <w:r w:rsidRPr="000A5C33">
        <w:rPr>
          <w:sz w:val="28"/>
          <w:szCs w:val="28"/>
        </w:rPr>
        <w:br/>
        <w:t>Confirmed</w:t>
      </w:r>
    </w:p>
    <w:p w14:paraId="59B027C7" w14:textId="77777777" w:rsidR="000A5C33" w:rsidRPr="00B64820" w:rsidRDefault="000A5C33" w:rsidP="000A5C33">
      <w:pPr>
        <w:pStyle w:val="NormalWeb"/>
        <w:rPr>
          <w:sz w:val="28"/>
          <w:szCs w:val="28"/>
        </w:rPr>
      </w:pPr>
      <w:r w:rsidRPr="000A5C33">
        <w:rPr>
          <w:rFonts w:ascii="Segoe UI Symbol" w:hAnsi="Segoe UI Symbol" w:cs="Segoe UI Symbol"/>
          <w:sz w:val="28"/>
          <w:szCs w:val="28"/>
        </w:rPr>
        <w:t>☑</w:t>
      </w:r>
      <w:r w:rsidRPr="000A5C33">
        <w:rPr>
          <w:sz w:val="28"/>
          <w:szCs w:val="28"/>
        </w:rPr>
        <w:t xml:space="preserve"> </w:t>
      </w:r>
      <w:r w:rsidRPr="000A5C33">
        <w:rPr>
          <w:b/>
          <w:bCs/>
          <w:sz w:val="28"/>
          <w:szCs w:val="28"/>
        </w:rPr>
        <w:t>Ongoing Information Commitment:</w:t>
      </w:r>
      <w:r w:rsidRPr="000A5C33">
        <w:rPr>
          <w:sz w:val="28"/>
          <w:szCs w:val="28"/>
        </w:rPr>
        <w:br/>
        <w:t>Confirmed</w:t>
      </w:r>
    </w:p>
    <w:p w14:paraId="5E229AB8" w14:textId="2A1A45B3" w:rsidR="000A5C33" w:rsidRPr="00B64820" w:rsidRDefault="000A5C33" w:rsidP="000A5C33">
      <w:pPr>
        <w:pStyle w:val="NormalWeb"/>
        <w:rPr>
          <w:b/>
          <w:bCs/>
          <w:sz w:val="28"/>
          <w:szCs w:val="28"/>
        </w:rPr>
      </w:pPr>
      <w:r w:rsidRPr="00B64820">
        <w:rPr>
          <w:b/>
          <w:bCs/>
          <w:sz w:val="28"/>
          <w:szCs w:val="28"/>
        </w:rPr>
        <w:t>2.2</w:t>
      </w:r>
      <w:r w:rsidRPr="000A5C33">
        <w:rPr>
          <w:b/>
          <w:bCs/>
          <w:sz w:val="28"/>
          <w:szCs w:val="28"/>
        </w:rPr>
        <w:t xml:space="preserve"> </w:t>
      </w:r>
      <w:r w:rsidRPr="00B64820">
        <w:rPr>
          <w:b/>
          <w:bCs/>
          <w:sz w:val="28"/>
          <w:szCs w:val="28"/>
        </w:rPr>
        <w:t xml:space="preserve">Financial Summary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8"/>
        <w:gridCol w:w="2242"/>
      </w:tblGrid>
      <w:tr w:rsidR="000A5C33" w:rsidRPr="00B64820" w14:paraId="1B25CD3D" w14:textId="77777777" w:rsidTr="00B01DEF">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CB07CCD" w14:textId="77777777" w:rsidR="000A5C33" w:rsidRPr="00B64820" w:rsidRDefault="000A5C33" w:rsidP="00B01DEF">
            <w:pPr>
              <w:pStyle w:val="NormalWeb"/>
              <w:rPr>
                <w:rFonts w:eastAsiaTheme="majorEastAsia"/>
                <w:b/>
                <w:bCs/>
                <w:sz w:val="28"/>
                <w:szCs w:val="28"/>
              </w:rPr>
            </w:pPr>
            <w:r w:rsidRPr="00B64820">
              <w:rPr>
                <w:rFonts w:eastAsiaTheme="majorEastAsia"/>
                <w:b/>
                <w:bCs/>
                <w:sz w:val="28"/>
                <w:szCs w:val="28"/>
              </w:rPr>
              <w:t>Cost Category</w:t>
            </w:r>
          </w:p>
        </w:tc>
        <w:tc>
          <w:tcPr>
            <w:tcW w:w="0" w:type="auto"/>
            <w:tcBorders>
              <w:top w:val="single" w:sz="4" w:space="0" w:color="auto"/>
              <w:left w:val="single" w:sz="4" w:space="0" w:color="auto"/>
              <w:bottom w:val="single" w:sz="4" w:space="0" w:color="auto"/>
              <w:right w:val="single" w:sz="4" w:space="0" w:color="auto"/>
            </w:tcBorders>
            <w:vAlign w:val="center"/>
            <w:hideMark/>
          </w:tcPr>
          <w:p w14:paraId="49B0B53D" w14:textId="77777777" w:rsidR="000A5C33" w:rsidRPr="00B64820" w:rsidRDefault="000A5C33" w:rsidP="00B01DEF">
            <w:pPr>
              <w:pStyle w:val="NormalWeb"/>
              <w:rPr>
                <w:rFonts w:eastAsiaTheme="majorEastAsia"/>
                <w:b/>
                <w:bCs/>
                <w:sz w:val="28"/>
                <w:szCs w:val="28"/>
              </w:rPr>
            </w:pPr>
            <w:r w:rsidRPr="00B64820">
              <w:rPr>
                <w:rFonts w:eastAsiaTheme="majorEastAsia"/>
                <w:b/>
                <w:bCs/>
                <w:sz w:val="28"/>
                <w:szCs w:val="28"/>
              </w:rPr>
              <w:t>Amount (€)</w:t>
            </w:r>
          </w:p>
        </w:tc>
      </w:tr>
      <w:tr w:rsidR="000A5C33" w:rsidRPr="00B64820" w14:paraId="3AC57D20" w14:textId="77777777" w:rsidTr="00B01DE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43F5C1A" w14:textId="77777777" w:rsidR="000A5C33" w:rsidRPr="00B64820" w:rsidRDefault="000A5C33" w:rsidP="00B01DEF">
            <w:pPr>
              <w:pStyle w:val="NormalWeb"/>
              <w:rPr>
                <w:rFonts w:eastAsiaTheme="majorEastAsia"/>
                <w:b/>
                <w:bCs/>
                <w:sz w:val="28"/>
                <w:szCs w:val="28"/>
              </w:rPr>
            </w:pPr>
            <w:r w:rsidRPr="00B64820">
              <w:rPr>
                <w:rFonts w:eastAsiaTheme="majorEastAsia"/>
                <w:b/>
                <w:bCs/>
                <w:sz w:val="28"/>
                <w:szCs w:val="28"/>
              </w:rPr>
              <w:t>Acquisition Package (Existing Site, Rights, 6.8MW Live Capacity)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5DBD1B19" w14:textId="28497768" w:rsidR="000A5C33" w:rsidRPr="00B64820" w:rsidRDefault="000A5C33" w:rsidP="00B01DEF">
            <w:pPr>
              <w:pStyle w:val="NormalWeb"/>
              <w:rPr>
                <w:rFonts w:eastAsiaTheme="majorEastAsia"/>
                <w:b/>
                <w:bCs/>
                <w:sz w:val="28"/>
                <w:szCs w:val="28"/>
              </w:rPr>
            </w:pPr>
            <w:r w:rsidRPr="00B64820">
              <w:rPr>
                <w:rFonts w:eastAsiaTheme="majorEastAsia"/>
                <w:b/>
                <w:bCs/>
                <w:sz w:val="28"/>
                <w:szCs w:val="28"/>
              </w:rPr>
              <w:t>€</w:t>
            </w:r>
            <w:r w:rsidR="00942E54">
              <w:rPr>
                <w:rFonts w:eastAsiaTheme="majorEastAsia"/>
                <w:b/>
                <w:bCs/>
                <w:sz w:val="28"/>
                <w:szCs w:val="28"/>
              </w:rPr>
              <w:t>120</w:t>
            </w:r>
            <w:r w:rsidRPr="00B64820">
              <w:rPr>
                <w:rFonts w:eastAsiaTheme="majorEastAsia"/>
                <w:b/>
                <w:bCs/>
                <w:sz w:val="28"/>
                <w:szCs w:val="28"/>
              </w:rPr>
              <w:t>,000,000</w:t>
            </w:r>
          </w:p>
        </w:tc>
      </w:tr>
      <w:tr w:rsidR="000A5C33" w:rsidRPr="00B64820" w14:paraId="12194C98" w14:textId="77777777" w:rsidTr="00B01DE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55E15CF" w14:textId="77777777" w:rsidR="000A5C33" w:rsidRPr="00B64820" w:rsidRDefault="000A5C33" w:rsidP="00B01DEF">
            <w:pPr>
              <w:pStyle w:val="NormalWeb"/>
              <w:rPr>
                <w:rFonts w:eastAsiaTheme="majorEastAsia"/>
                <w:b/>
                <w:bCs/>
                <w:sz w:val="28"/>
                <w:szCs w:val="28"/>
              </w:rPr>
            </w:pPr>
            <w:r w:rsidRPr="00B64820">
              <w:rPr>
                <w:rFonts w:eastAsiaTheme="majorEastAsia"/>
                <w:b/>
                <w:bCs/>
                <w:sz w:val="28"/>
                <w:szCs w:val="28"/>
              </w:rPr>
              <w:t>Development Build-Out (Hard + Soft Construction Costs)</w:t>
            </w:r>
          </w:p>
        </w:tc>
        <w:tc>
          <w:tcPr>
            <w:tcW w:w="0" w:type="auto"/>
            <w:tcBorders>
              <w:top w:val="single" w:sz="4" w:space="0" w:color="auto"/>
              <w:left w:val="single" w:sz="4" w:space="0" w:color="auto"/>
              <w:bottom w:val="single" w:sz="4" w:space="0" w:color="auto"/>
              <w:right w:val="single" w:sz="4" w:space="0" w:color="auto"/>
            </w:tcBorders>
            <w:vAlign w:val="center"/>
            <w:hideMark/>
          </w:tcPr>
          <w:p w14:paraId="4577703A" w14:textId="5A2259A5" w:rsidR="000A5C33" w:rsidRPr="00B64820" w:rsidRDefault="000A5C33" w:rsidP="00B01DEF">
            <w:pPr>
              <w:pStyle w:val="NormalWeb"/>
              <w:rPr>
                <w:rFonts w:eastAsiaTheme="majorEastAsia"/>
                <w:b/>
                <w:bCs/>
                <w:sz w:val="28"/>
                <w:szCs w:val="28"/>
              </w:rPr>
            </w:pPr>
            <w:r w:rsidRPr="00B64820">
              <w:rPr>
                <w:rFonts w:eastAsiaTheme="majorEastAsia"/>
                <w:b/>
                <w:bCs/>
                <w:sz w:val="28"/>
                <w:szCs w:val="28"/>
              </w:rPr>
              <w:t>€8</w:t>
            </w:r>
            <w:r w:rsidR="00942E54">
              <w:rPr>
                <w:rFonts w:eastAsiaTheme="majorEastAsia"/>
                <w:b/>
                <w:bCs/>
                <w:sz w:val="28"/>
                <w:szCs w:val="28"/>
              </w:rPr>
              <w:t>38</w:t>
            </w:r>
            <w:r w:rsidRPr="00B64820">
              <w:rPr>
                <w:rFonts w:eastAsiaTheme="majorEastAsia"/>
                <w:b/>
                <w:bCs/>
                <w:sz w:val="28"/>
                <w:szCs w:val="28"/>
              </w:rPr>
              <w:t>,000,000</w:t>
            </w:r>
          </w:p>
        </w:tc>
      </w:tr>
      <w:tr w:rsidR="000A5C33" w:rsidRPr="00B64820" w14:paraId="6B165A14" w14:textId="77777777" w:rsidTr="00B01DE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F9C2FCB" w14:textId="77777777" w:rsidR="000A5C33" w:rsidRPr="00B64820" w:rsidRDefault="000A5C33" w:rsidP="00B01DEF">
            <w:pPr>
              <w:pStyle w:val="NormalWeb"/>
              <w:rPr>
                <w:rFonts w:eastAsiaTheme="majorEastAsia"/>
                <w:b/>
                <w:bCs/>
                <w:sz w:val="28"/>
                <w:szCs w:val="28"/>
              </w:rPr>
            </w:pPr>
            <w:r w:rsidRPr="00B64820">
              <w:rPr>
                <w:rFonts w:eastAsiaTheme="majorEastAsia"/>
                <w:b/>
                <w:bCs/>
                <w:sz w:val="28"/>
                <w:szCs w:val="28"/>
              </w:rPr>
              <w:t>Total Development Package (Acquisition + Build)</w:t>
            </w:r>
          </w:p>
        </w:tc>
        <w:tc>
          <w:tcPr>
            <w:tcW w:w="0" w:type="auto"/>
            <w:tcBorders>
              <w:top w:val="single" w:sz="4" w:space="0" w:color="auto"/>
              <w:left w:val="single" w:sz="4" w:space="0" w:color="auto"/>
              <w:bottom w:val="single" w:sz="4" w:space="0" w:color="auto"/>
              <w:right w:val="single" w:sz="4" w:space="0" w:color="auto"/>
            </w:tcBorders>
            <w:vAlign w:val="center"/>
            <w:hideMark/>
          </w:tcPr>
          <w:p w14:paraId="55E27103" w14:textId="21CB0A3D" w:rsidR="000A5C33" w:rsidRPr="00B64820" w:rsidRDefault="000A5C33" w:rsidP="00B01DEF">
            <w:pPr>
              <w:pStyle w:val="NormalWeb"/>
              <w:rPr>
                <w:rFonts w:eastAsiaTheme="majorEastAsia"/>
                <w:b/>
                <w:bCs/>
                <w:sz w:val="28"/>
                <w:szCs w:val="28"/>
              </w:rPr>
            </w:pPr>
            <w:r w:rsidRPr="00B64820">
              <w:rPr>
                <w:rFonts w:eastAsiaTheme="majorEastAsia"/>
                <w:b/>
                <w:bCs/>
                <w:sz w:val="28"/>
                <w:szCs w:val="28"/>
              </w:rPr>
              <w:t>€</w:t>
            </w:r>
            <w:r w:rsidR="00942E54">
              <w:rPr>
                <w:rFonts w:eastAsiaTheme="majorEastAsia"/>
                <w:b/>
                <w:bCs/>
                <w:sz w:val="28"/>
                <w:szCs w:val="28"/>
              </w:rPr>
              <w:t>958</w:t>
            </w:r>
            <w:r w:rsidRPr="00B64820">
              <w:rPr>
                <w:rFonts w:eastAsiaTheme="majorEastAsia"/>
                <w:b/>
                <w:bCs/>
                <w:sz w:val="28"/>
                <w:szCs w:val="28"/>
              </w:rPr>
              <w:t>,000,000</w:t>
            </w:r>
          </w:p>
        </w:tc>
      </w:tr>
      <w:tr w:rsidR="000A5C33" w:rsidRPr="00B64820" w14:paraId="31A18DA8" w14:textId="77777777" w:rsidTr="00B01DE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38A90E0" w14:textId="77777777" w:rsidR="000A5C33" w:rsidRPr="00B64820" w:rsidRDefault="000A5C33" w:rsidP="00B01DEF">
            <w:pPr>
              <w:pStyle w:val="NormalWeb"/>
              <w:rPr>
                <w:rFonts w:eastAsiaTheme="majorEastAsia"/>
                <w:b/>
                <w:bCs/>
                <w:sz w:val="28"/>
                <w:szCs w:val="28"/>
              </w:rPr>
            </w:pPr>
            <w:r w:rsidRPr="00B64820">
              <w:rPr>
                <w:rFonts w:eastAsiaTheme="majorEastAsia"/>
                <w:b/>
                <w:bCs/>
                <w:sz w:val="28"/>
                <w:szCs w:val="28"/>
              </w:rPr>
              <w:t>Sponsor Development Profit (Success Fee at COD)</w:t>
            </w:r>
          </w:p>
        </w:tc>
        <w:tc>
          <w:tcPr>
            <w:tcW w:w="0" w:type="auto"/>
            <w:tcBorders>
              <w:top w:val="single" w:sz="4" w:space="0" w:color="auto"/>
              <w:left w:val="single" w:sz="4" w:space="0" w:color="auto"/>
              <w:bottom w:val="single" w:sz="4" w:space="0" w:color="auto"/>
              <w:right w:val="single" w:sz="4" w:space="0" w:color="auto"/>
            </w:tcBorders>
            <w:vAlign w:val="center"/>
            <w:hideMark/>
          </w:tcPr>
          <w:p w14:paraId="05E4B287" w14:textId="77777777" w:rsidR="000A5C33" w:rsidRPr="00B64820" w:rsidRDefault="000A5C33" w:rsidP="00B01DEF">
            <w:pPr>
              <w:pStyle w:val="NormalWeb"/>
              <w:rPr>
                <w:rFonts w:eastAsiaTheme="majorEastAsia"/>
                <w:b/>
                <w:bCs/>
                <w:sz w:val="28"/>
                <w:szCs w:val="28"/>
              </w:rPr>
            </w:pPr>
            <w:r w:rsidRPr="00B64820">
              <w:rPr>
                <w:rFonts w:eastAsiaTheme="majorEastAsia"/>
                <w:b/>
                <w:bCs/>
                <w:sz w:val="28"/>
                <w:szCs w:val="28"/>
              </w:rPr>
              <w:t>€100,000,000</w:t>
            </w:r>
          </w:p>
        </w:tc>
      </w:tr>
      <w:tr w:rsidR="000A5C33" w:rsidRPr="00B64820" w14:paraId="20E2B0CD" w14:textId="77777777" w:rsidTr="00B01DE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DC42ABE" w14:textId="05547931" w:rsidR="000A5C33" w:rsidRPr="00B64820" w:rsidRDefault="000A5C33" w:rsidP="00B01DEF">
            <w:pPr>
              <w:pStyle w:val="NormalWeb"/>
              <w:rPr>
                <w:rFonts w:eastAsiaTheme="majorEastAsia"/>
                <w:b/>
                <w:bCs/>
                <w:sz w:val="28"/>
                <w:szCs w:val="28"/>
              </w:rPr>
            </w:pPr>
            <w:r w:rsidRPr="00B64820">
              <w:rPr>
                <w:rFonts w:eastAsiaTheme="majorEastAsia"/>
                <w:b/>
                <w:bCs/>
                <w:sz w:val="28"/>
                <w:szCs w:val="28"/>
              </w:rPr>
              <w:t>Total Institutional Funding Requirement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09A88428" w14:textId="0719D83E" w:rsidR="000A5C33" w:rsidRPr="00B64820" w:rsidRDefault="000A5C33" w:rsidP="00B01DEF">
            <w:pPr>
              <w:pStyle w:val="NormalWeb"/>
              <w:rPr>
                <w:rFonts w:eastAsiaTheme="majorEastAsia"/>
                <w:b/>
                <w:bCs/>
                <w:sz w:val="28"/>
                <w:szCs w:val="28"/>
              </w:rPr>
            </w:pPr>
            <w:r w:rsidRPr="00B64820">
              <w:rPr>
                <w:rFonts w:eastAsiaTheme="majorEastAsia"/>
                <w:b/>
                <w:bCs/>
                <w:sz w:val="28"/>
                <w:szCs w:val="28"/>
              </w:rPr>
              <w:t>€1,</w:t>
            </w:r>
            <w:r w:rsidR="00942E54">
              <w:rPr>
                <w:rFonts w:eastAsiaTheme="majorEastAsia"/>
                <w:b/>
                <w:bCs/>
                <w:sz w:val="28"/>
                <w:szCs w:val="28"/>
              </w:rPr>
              <w:t>058</w:t>
            </w:r>
            <w:r w:rsidRPr="00B64820">
              <w:rPr>
                <w:rFonts w:eastAsiaTheme="majorEastAsia"/>
                <w:b/>
                <w:bCs/>
                <w:sz w:val="28"/>
                <w:szCs w:val="28"/>
              </w:rPr>
              <w:t>,000,000</w:t>
            </w:r>
          </w:p>
        </w:tc>
      </w:tr>
      <w:tr w:rsidR="000A5C33" w:rsidRPr="00B64820" w14:paraId="52DF26D6" w14:textId="77777777" w:rsidTr="00B01DE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33A559C7" w14:textId="77777777" w:rsidR="000A5C33" w:rsidRPr="00B64820" w:rsidRDefault="000A5C33" w:rsidP="00B01DEF">
            <w:pPr>
              <w:pStyle w:val="NormalWeb"/>
              <w:rPr>
                <w:rFonts w:eastAsiaTheme="majorEastAsia"/>
                <w:b/>
                <w:bCs/>
                <w:sz w:val="28"/>
                <w:szCs w:val="28"/>
              </w:rPr>
            </w:pPr>
            <w:r w:rsidRPr="00B64820">
              <w:rPr>
                <w:rFonts w:eastAsiaTheme="majorEastAsia"/>
                <w:b/>
                <w:bCs/>
                <w:sz w:val="28"/>
                <w:szCs w:val="28"/>
              </w:rPr>
              <w:t>Gross Rental Revenue (Annualised at Full Build)</w:t>
            </w:r>
          </w:p>
        </w:tc>
        <w:tc>
          <w:tcPr>
            <w:tcW w:w="0" w:type="auto"/>
            <w:tcBorders>
              <w:top w:val="single" w:sz="4" w:space="0" w:color="auto"/>
              <w:left w:val="single" w:sz="4" w:space="0" w:color="auto"/>
              <w:bottom w:val="single" w:sz="4" w:space="0" w:color="auto"/>
              <w:right w:val="single" w:sz="4" w:space="0" w:color="auto"/>
            </w:tcBorders>
            <w:vAlign w:val="center"/>
          </w:tcPr>
          <w:p w14:paraId="6971EEB3" w14:textId="6B61A478" w:rsidR="000A5C33" w:rsidRPr="00B64820" w:rsidRDefault="000A5C33" w:rsidP="00B01DEF">
            <w:pPr>
              <w:pStyle w:val="NormalWeb"/>
              <w:rPr>
                <w:rFonts w:eastAsiaTheme="majorEastAsia"/>
                <w:b/>
                <w:bCs/>
                <w:sz w:val="28"/>
                <w:szCs w:val="28"/>
              </w:rPr>
            </w:pPr>
            <w:r w:rsidRPr="00B64820">
              <w:rPr>
                <w:rFonts w:eastAsiaTheme="majorEastAsia"/>
                <w:b/>
                <w:bCs/>
                <w:sz w:val="28"/>
                <w:szCs w:val="28"/>
              </w:rPr>
              <w:t>€</w:t>
            </w:r>
            <w:r w:rsidR="00942E54">
              <w:rPr>
                <w:rFonts w:eastAsiaTheme="majorEastAsia"/>
                <w:b/>
                <w:bCs/>
                <w:sz w:val="28"/>
                <w:szCs w:val="28"/>
              </w:rPr>
              <w:t>136,305</w:t>
            </w:r>
            <w:r w:rsidRPr="00B64820">
              <w:rPr>
                <w:rFonts w:eastAsiaTheme="majorEastAsia"/>
                <w:b/>
                <w:bCs/>
                <w:sz w:val="28"/>
                <w:szCs w:val="28"/>
              </w:rPr>
              <w:t>,000/year</w:t>
            </w:r>
          </w:p>
        </w:tc>
      </w:tr>
      <w:tr w:rsidR="000A5C33" w:rsidRPr="00B64820" w14:paraId="1B8CF4AF" w14:textId="77777777" w:rsidTr="00B01DE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5E1C977" w14:textId="77777777" w:rsidR="000A5C33" w:rsidRPr="00B64820" w:rsidRDefault="000A5C33" w:rsidP="00B01DEF">
            <w:pPr>
              <w:pStyle w:val="NormalWeb"/>
              <w:rPr>
                <w:rFonts w:eastAsiaTheme="majorEastAsia"/>
                <w:b/>
                <w:bCs/>
                <w:sz w:val="28"/>
                <w:szCs w:val="28"/>
              </w:rPr>
            </w:pPr>
            <w:r w:rsidRPr="00B64820">
              <w:rPr>
                <w:rFonts w:eastAsiaTheme="majorEastAsia"/>
                <w:b/>
                <w:bCs/>
                <w:sz w:val="28"/>
                <w:szCs w:val="28"/>
              </w:rPr>
              <w:t>Operating Expenses (Non-Power OPEX)</w:t>
            </w:r>
          </w:p>
        </w:tc>
        <w:tc>
          <w:tcPr>
            <w:tcW w:w="0" w:type="auto"/>
            <w:tcBorders>
              <w:top w:val="single" w:sz="4" w:space="0" w:color="auto"/>
              <w:left w:val="single" w:sz="4" w:space="0" w:color="auto"/>
              <w:bottom w:val="single" w:sz="4" w:space="0" w:color="auto"/>
              <w:right w:val="single" w:sz="4" w:space="0" w:color="auto"/>
            </w:tcBorders>
            <w:vAlign w:val="center"/>
          </w:tcPr>
          <w:p w14:paraId="51FABF62" w14:textId="557CBB83" w:rsidR="000A5C33" w:rsidRPr="00B64820" w:rsidRDefault="000A5C33" w:rsidP="00B01DEF">
            <w:pPr>
              <w:pStyle w:val="NormalWeb"/>
              <w:rPr>
                <w:rFonts w:eastAsiaTheme="majorEastAsia"/>
                <w:b/>
                <w:bCs/>
                <w:sz w:val="28"/>
                <w:szCs w:val="28"/>
              </w:rPr>
            </w:pPr>
            <w:r w:rsidRPr="00B64820">
              <w:rPr>
                <w:rFonts w:eastAsiaTheme="majorEastAsia"/>
                <w:b/>
                <w:bCs/>
                <w:sz w:val="28"/>
                <w:szCs w:val="28"/>
              </w:rPr>
              <w:t>€</w:t>
            </w:r>
            <w:r w:rsidR="00942E54">
              <w:rPr>
                <w:rFonts w:eastAsiaTheme="majorEastAsia"/>
                <w:b/>
                <w:bCs/>
                <w:sz w:val="28"/>
                <w:szCs w:val="28"/>
              </w:rPr>
              <w:t>36,</w:t>
            </w:r>
            <w:r w:rsidR="009709E8">
              <w:rPr>
                <w:rFonts w:eastAsiaTheme="majorEastAsia"/>
                <w:b/>
                <w:bCs/>
                <w:sz w:val="28"/>
                <w:szCs w:val="28"/>
              </w:rPr>
              <w:t>273</w:t>
            </w:r>
            <w:r w:rsidRPr="00B64820">
              <w:rPr>
                <w:rFonts w:eastAsiaTheme="majorEastAsia"/>
                <w:b/>
                <w:bCs/>
                <w:sz w:val="28"/>
                <w:szCs w:val="28"/>
              </w:rPr>
              <w:t>,000/year</w:t>
            </w:r>
          </w:p>
        </w:tc>
      </w:tr>
      <w:tr w:rsidR="000A5C33" w:rsidRPr="00B64820" w14:paraId="1093981D" w14:textId="77777777" w:rsidTr="00B01DE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993AE80" w14:textId="77777777" w:rsidR="000A5C33" w:rsidRPr="00B64820" w:rsidRDefault="000A5C33" w:rsidP="00B01DEF">
            <w:pPr>
              <w:pStyle w:val="NormalWeb"/>
              <w:rPr>
                <w:rFonts w:eastAsiaTheme="majorEastAsia"/>
                <w:b/>
                <w:bCs/>
                <w:sz w:val="28"/>
                <w:szCs w:val="28"/>
              </w:rPr>
            </w:pPr>
            <w:r w:rsidRPr="00B64820">
              <w:rPr>
                <w:rFonts w:eastAsiaTheme="majorEastAsia"/>
                <w:b/>
                <w:bCs/>
                <w:sz w:val="28"/>
                <w:szCs w:val="28"/>
              </w:rPr>
              <w:t>Net Operating Income (NOI)</w:t>
            </w:r>
          </w:p>
        </w:tc>
        <w:tc>
          <w:tcPr>
            <w:tcW w:w="0" w:type="auto"/>
            <w:tcBorders>
              <w:top w:val="single" w:sz="4" w:space="0" w:color="auto"/>
              <w:left w:val="single" w:sz="4" w:space="0" w:color="auto"/>
              <w:bottom w:val="single" w:sz="4" w:space="0" w:color="auto"/>
              <w:right w:val="single" w:sz="4" w:space="0" w:color="auto"/>
            </w:tcBorders>
            <w:vAlign w:val="center"/>
          </w:tcPr>
          <w:p w14:paraId="019A1E93" w14:textId="0E2DDB6D" w:rsidR="000A5C33" w:rsidRPr="00B64820" w:rsidRDefault="000A5C33" w:rsidP="00B01DEF">
            <w:pPr>
              <w:pStyle w:val="NormalWeb"/>
              <w:rPr>
                <w:rFonts w:eastAsiaTheme="majorEastAsia"/>
                <w:b/>
                <w:bCs/>
                <w:sz w:val="28"/>
                <w:szCs w:val="28"/>
              </w:rPr>
            </w:pPr>
            <w:r w:rsidRPr="00B64820">
              <w:rPr>
                <w:rFonts w:eastAsiaTheme="majorEastAsia"/>
                <w:b/>
                <w:bCs/>
                <w:sz w:val="28"/>
                <w:szCs w:val="28"/>
              </w:rPr>
              <w:t>€</w:t>
            </w:r>
            <w:r w:rsidR="00942E54">
              <w:rPr>
                <w:rFonts w:eastAsiaTheme="majorEastAsia"/>
                <w:b/>
                <w:bCs/>
                <w:sz w:val="28"/>
                <w:szCs w:val="28"/>
              </w:rPr>
              <w:t>100,032,</w:t>
            </w:r>
            <w:r w:rsidRPr="00B64820">
              <w:rPr>
                <w:rFonts w:eastAsiaTheme="majorEastAsia"/>
                <w:b/>
                <w:bCs/>
                <w:sz w:val="28"/>
                <w:szCs w:val="28"/>
              </w:rPr>
              <w:t>000/year</w:t>
            </w:r>
          </w:p>
        </w:tc>
      </w:tr>
    </w:tbl>
    <w:p w14:paraId="4C3DD70B" w14:textId="6E188621" w:rsidR="000A5C33" w:rsidRPr="00B64820" w:rsidRDefault="000A5C33" w:rsidP="000A5C33">
      <w:pPr>
        <w:pStyle w:val="NormalWeb"/>
        <w:rPr>
          <w:rFonts w:eastAsiaTheme="majorEastAsia"/>
          <w:b/>
          <w:bCs/>
          <w:sz w:val="28"/>
          <w:szCs w:val="28"/>
        </w:rPr>
      </w:pPr>
      <w:r w:rsidRPr="00B64820">
        <w:rPr>
          <w:rFonts w:eastAsiaTheme="majorEastAsia"/>
          <w:b/>
          <w:bCs/>
          <w:sz w:val="28"/>
          <w:szCs w:val="28"/>
        </w:rPr>
        <w:t>2.3 Construction Cost Benchmarks (External Verification)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66"/>
        <w:gridCol w:w="1767"/>
        <w:gridCol w:w="1574"/>
        <w:gridCol w:w="1723"/>
      </w:tblGrid>
      <w:tr w:rsidR="000A5C33" w:rsidRPr="00B64820" w14:paraId="1E7C49A2" w14:textId="77777777" w:rsidTr="00B01DEF">
        <w:trPr>
          <w:tblHeader/>
          <w:tblCellSpacing w:w="15" w:type="dxa"/>
        </w:trPr>
        <w:tc>
          <w:tcPr>
            <w:tcW w:w="0" w:type="auto"/>
            <w:vAlign w:val="center"/>
            <w:hideMark/>
          </w:tcPr>
          <w:p w14:paraId="7B6F94FD" w14:textId="77777777" w:rsidR="000A5C33" w:rsidRPr="009709E8" w:rsidRDefault="000A5C33" w:rsidP="00B01DEF">
            <w:pPr>
              <w:pStyle w:val="NormalWeb"/>
              <w:rPr>
                <w:rFonts w:eastAsiaTheme="majorEastAsia"/>
                <w:b/>
                <w:bCs/>
                <w:sz w:val="28"/>
                <w:szCs w:val="28"/>
              </w:rPr>
            </w:pPr>
            <w:r w:rsidRPr="009709E8">
              <w:rPr>
                <w:rFonts w:eastAsiaTheme="majorEastAsia"/>
                <w:b/>
                <w:bCs/>
                <w:sz w:val="28"/>
                <w:szCs w:val="28"/>
              </w:rPr>
              <w:t>Comparable Site</w:t>
            </w:r>
          </w:p>
        </w:tc>
        <w:tc>
          <w:tcPr>
            <w:tcW w:w="0" w:type="auto"/>
            <w:vAlign w:val="center"/>
            <w:hideMark/>
          </w:tcPr>
          <w:p w14:paraId="02B39F81" w14:textId="77777777" w:rsidR="000A5C33" w:rsidRPr="009709E8" w:rsidRDefault="000A5C33" w:rsidP="00B01DEF">
            <w:pPr>
              <w:pStyle w:val="NormalWeb"/>
              <w:rPr>
                <w:rFonts w:eastAsiaTheme="majorEastAsia"/>
                <w:b/>
                <w:bCs/>
                <w:sz w:val="28"/>
                <w:szCs w:val="28"/>
              </w:rPr>
            </w:pPr>
            <w:r w:rsidRPr="009709E8">
              <w:rPr>
                <w:rFonts w:eastAsiaTheme="majorEastAsia"/>
                <w:b/>
                <w:bCs/>
                <w:sz w:val="28"/>
                <w:szCs w:val="28"/>
              </w:rPr>
              <w:t>Capacity (MW)</w:t>
            </w:r>
          </w:p>
        </w:tc>
        <w:tc>
          <w:tcPr>
            <w:tcW w:w="0" w:type="auto"/>
            <w:vAlign w:val="center"/>
            <w:hideMark/>
          </w:tcPr>
          <w:p w14:paraId="3FFAD96D" w14:textId="77777777" w:rsidR="000A5C33" w:rsidRPr="009709E8" w:rsidRDefault="000A5C33" w:rsidP="00B01DEF">
            <w:pPr>
              <w:pStyle w:val="NormalWeb"/>
              <w:rPr>
                <w:rFonts w:eastAsiaTheme="majorEastAsia"/>
                <w:b/>
                <w:bCs/>
                <w:sz w:val="28"/>
                <w:szCs w:val="28"/>
              </w:rPr>
            </w:pPr>
            <w:r w:rsidRPr="009709E8">
              <w:rPr>
                <w:rFonts w:eastAsiaTheme="majorEastAsia"/>
                <w:b/>
                <w:bCs/>
                <w:sz w:val="28"/>
                <w:szCs w:val="28"/>
              </w:rPr>
              <w:t>Total Cost</w:t>
            </w:r>
          </w:p>
        </w:tc>
        <w:tc>
          <w:tcPr>
            <w:tcW w:w="0" w:type="auto"/>
            <w:vAlign w:val="center"/>
            <w:hideMark/>
          </w:tcPr>
          <w:p w14:paraId="157401F8" w14:textId="77777777" w:rsidR="000A5C33" w:rsidRPr="009709E8" w:rsidRDefault="000A5C33" w:rsidP="00B01DEF">
            <w:pPr>
              <w:pStyle w:val="NormalWeb"/>
              <w:rPr>
                <w:rFonts w:eastAsiaTheme="majorEastAsia"/>
                <w:b/>
                <w:bCs/>
                <w:sz w:val="28"/>
                <w:szCs w:val="28"/>
              </w:rPr>
            </w:pPr>
            <w:r w:rsidRPr="009709E8">
              <w:rPr>
                <w:rFonts w:eastAsiaTheme="majorEastAsia"/>
                <w:b/>
                <w:bCs/>
                <w:sz w:val="28"/>
                <w:szCs w:val="28"/>
              </w:rPr>
              <w:t>Unit Cost</w:t>
            </w:r>
          </w:p>
        </w:tc>
      </w:tr>
      <w:tr w:rsidR="000A5C33" w:rsidRPr="00B64820" w14:paraId="60949704" w14:textId="77777777" w:rsidTr="00B01DEF">
        <w:trPr>
          <w:tblCellSpacing w:w="15" w:type="dxa"/>
        </w:trPr>
        <w:tc>
          <w:tcPr>
            <w:tcW w:w="0" w:type="auto"/>
            <w:vAlign w:val="center"/>
            <w:hideMark/>
          </w:tcPr>
          <w:p w14:paraId="7A98FC9B" w14:textId="77777777" w:rsidR="000A5C33" w:rsidRPr="009709E8" w:rsidRDefault="000A5C33" w:rsidP="00B01DEF">
            <w:pPr>
              <w:pStyle w:val="NormalWeb"/>
              <w:rPr>
                <w:rFonts w:eastAsiaTheme="majorEastAsia"/>
                <w:b/>
                <w:bCs/>
                <w:sz w:val="28"/>
                <w:szCs w:val="28"/>
              </w:rPr>
            </w:pPr>
            <w:r w:rsidRPr="009709E8">
              <w:rPr>
                <w:rFonts w:eastAsiaTheme="majorEastAsia"/>
                <w:b/>
                <w:bCs/>
                <w:sz w:val="28"/>
                <w:szCs w:val="28"/>
              </w:rPr>
              <w:t>NSA Utah (USA Government)</w:t>
            </w:r>
          </w:p>
        </w:tc>
        <w:tc>
          <w:tcPr>
            <w:tcW w:w="0" w:type="auto"/>
            <w:vAlign w:val="center"/>
            <w:hideMark/>
          </w:tcPr>
          <w:p w14:paraId="5A1FCD7A" w14:textId="77777777" w:rsidR="000A5C33" w:rsidRPr="009709E8" w:rsidRDefault="000A5C33" w:rsidP="00B01DEF">
            <w:pPr>
              <w:pStyle w:val="NormalWeb"/>
              <w:rPr>
                <w:rFonts w:eastAsiaTheme="majorEastAsia"/>
                <w:b/>
                <w:bCs/>
                <w:sz w:val="28"/>
                <w:szCs w:val="28"/>
              </w:rPr>
            </w:pPr>
            <w:r w:rsidRPr="009709E8">
              <w:rPr>
                <w:rFonts w:eastAsiaTheme="majorEastAsia"/>
                <w:b/>
                <w:bCs/>
                <w:sz w:val="28"/>
                <w:szCs w:val="28"/>
              </w:rPr>
              <w:t>65 MW</w:t>
            </w:r>
          </w:p>
        </w:tc>
        <w:tc>
          <w:tcPr>
            <w:tcW w:w="0" w:type="auto"/>
            <w:vAlign w:val="center"/>
            <w:hideMark/>
          </w:tcPr>
          <w:p w14:paraId="111AB53D" w14:textId="77777777" w:rsidR="000A5C33" w:rsidRPr="009709E8" w:rsidRDefault="000A5C33" w:rsidP="00B01DEF">
            <w:pPr>
              <w:pStyle w:val="NormalWeb"/>
              <w:rPr>
                <w:rFonts w:eastAsiaTheme="majorEastAsia"/>
                <w:b/>
                <w:bCs/>
                <w:sz w:val="28"/>
                <w:szCs w:val="28"/>
              </w:rPr>
            </w:pPr>
            <w:r w:rsidRPr="009709E8">
              <w:rPr>
                <w:rFonts w:eastAsiaTheme="majorEastAsia"/>
                <w:b/>
                <w:bCs/>
                <w:sz w:val="28"/>
                <w:szCs w:val="28"/>
              </w:rPr>
              <w:t>$1.5–2B</w:t>
            </w:r>
          </w:p>
        </w:tc>
        <w:tc>
          <w:tcPr>
            <w:tcW w:w="0" w:type="auto"/>
            <w:vAlign w:val="center"/>
            <w:hideMark/>
          </w:tcPr>
          <w:p w14:paraId="48A79890" w14:textId="77777777" w:rsidR="000A5C33" w:rsidRPr="009709E8" w:rsidRDefault="000A5C33" w:rsidP="00B01DEF">
            <w:pPr>
              <w:pStyle w:val="NormalWeb"/>
              <w:rPr>
                <w:rFonts w:eastAsiaTheme="majorEastAsia"/>
                <w:b/>
                <w:bCs/>
                <w:sz w:val="28"/>
                <w:szCs w:val="28"/>
              </w:rPr>
            </w:pPr>
            <w:r w:rsidRPr="009709E8">
              <w:rPr>
                <w:rFonts w:eastAsiaTheme="majorEastAsia"/>
                <w:b/>
                <w:bCs/>
                <w:sz w:val="28"/>
                <w:szCs w:val="28"/>
              </w:rPr>
              <w:t>$23–30M/MW</w:t>
            </w:r>
          </w:p>
        </w:tc>
      </w:tr>
      <w:tr w:rsidR="000A5C33" w:rsidRPr="00B64820" w14:paraId="25CFA003" w14:textId="77777777" w:rsidTr="00B01DEF">
        <w:trPr>
          <w:tblCellSpacing w:w="15" w:type="dxa"/>
        </w:trPr>
        <w:tc>
          <w:tcPr>
            <w:tcW w:w="0" w:type="auto"/>
            <w:vAlign w:val="center"/>
            <w:hideMark/>
          </w:tcPr>
          <w:p w14:paraId="3F7251F7" w14:textId="77777777" w:rsidR="000A5C33" w:rsidRPr="009709E8" w:rsidRDefault="000A5C33" w:rsidP="00B01DEF">
            <w:pPr>
              <w:pStyle w:val="NormalWeb"/>
              <w:rPr>
                <w:rFonts w:eastAsiaTheme="majorEastAsia"/>
                <w:b/>
                <w:bCs/>
                <w:sz w:val="28"/>
                <w:szCs w:val="28"/>
              </w:rPr>
            </w:pPr>
            <w:r w:rsidRPr="009709E8">
              <w:rPr>
                <w:rFonts w:eastAsiaTheme="majorEastAsia"/>
                <w:b/>
                <w:bCs/>
                <w:sz w:val="28"/>
                <w:szCs w:val="28"/>
              </w:rPr>
              <w:t>Stargate Texas AI Campus (USA)</w:t>
            </w:r>
          </w:p>
        </w:tc>
        <w:tc>
          <w:tcPr>
            <w:tcW w:w="0" w:type="auto"/>
            <w:vAlign w:val="center"/>
            <w:hideMark/>
          </w:tcPr>
          <w:p w14:paraId="1FBF3E95" w14:textId="77777777" w:rsidR="000A5C33" w:rsidRPr="009709E8" w:rsidRDefault="000A5C33" w:rsidP="00B01DEF">
            <w:pPr>
              <w:pStyle w:val="NormalWeb"/>
              <w:rPr>
                <w:rFonts w:eastAsiaTheme="majorEastAsia"/>
                <w:b/>
                <w:bCs/>
                <w:sz w:val="28"/>
                <w:szCs w:val="28"/>
              </w:rPr>
            </w:pPr>
            <w:r w:rsidRPr="009709E8">
              <w:rPr>
                <w:rFonts w:eastAsiaTheme="majorEastAsia"/>
                <w:b/>
                <w:bCs/>
                <w:sz w:val="28"/>
                <w:szCs w:val="28"/>
              </w:rPr>
              <w:t>50 MW</w:t>
            </w:r>
          </w:p>
        </w:tc>
        <w:tc>
          <w:tcPr>
            <w:tcW w:w="0" w:type="auto"/>
            <w:vAlign w:val="center"/>
            <w:hideMark/>
          </w:tcPr>
          <w:p w14:paraId="06D0A968" w14:textId="77777777" w:rsidR="000A5C33" w:rsidRPr="009709E8" w:rsidRDefault="000A5C33" w:rsidP="00B01DEF">
            <w:pPr>
              <w:pStyle w:val="NormalWeb"/>
              <w:rPr>
                <w:rFonts w:eastAsiaTheme="majorEastAsia"/>
                <w:b/>
                <w:bCs/>
                <w:sz w:val="28"/>
                <w:szCs w:val="28"/>
              </w:rPr>
            </w:pPr>
            <w:r w:rsidRPr="009709E8">
              <w:rPr>
                <w:rFonts w:eastAsiaTheme="majorEastAsia"/>
                <w:b/>
                <w:bCs/>
                <w:sz w:val="28"/>
                <w:szCs w:val="28"/>
              </w:rPr>
              <w:t>$1.1B</w:t>
            </w:r>
          </w:p>
        </w:tc>
        <w:tc>
          <w:tcPr>
            <w:tcW w:w="0" w:type="auto"/>
            <w:vAlign w:val="center"/>
            <w:hideMark/>
          </w:tcPr>
          <w:p w14:paraId="0DFFB501" w14:textId="77777777" w:rsidR="000A5C33" w:rsidRPr="009709E8" w:rsidRDefault="000A5C33" w:rsidP="00B01DEF">
            <w:pPr>
              <w:pStyle w:val="NormalWeb"/>
              <w:rPr>
                <w:rFonts w:eastAsiaTheme="majorEastAsia"/>
                <w:b/>
                <w:bCs/>
                <w:sz w:val="28"/>
                <w:szCs w:val="28"/>
              </w:rPr>
            </w:pPr>
            <w:r w:rsidRPr="009709E8">
              <w:rPr>
                <w:rFonts w:eastAsiaTheme="majorEastAsia"/>
                <w:b/>
                <w:bCs/>
                <w:sz w:val="28"/>
                <w:szCs w:val="28"/>
              </w:rPr>
              <w:t>$22M/MW</w:t>
            </w:r>
          </w:p>
        </w:tc>
      </w:tr>
      <w:tr w:rsidR="000A5C33" w:rsidRPr="00B64820" w14:paraId="2CF63A98" w14:textId="77777777" w:rsidTr="00B01DEF">
        <w:trPr>
          <w:tblCellSpacing w:w="15" w:type="dxa"/>
        </w:trPr>
        <w:tc>
          <w:tcPr>
            <w:tcW w:w="0" w:type="auto"/>
            <w:vAlign w:val="center"/>
            <w:hideMark/>
          </w:tcPr>
          <w:p w14:paraId="293A52DB" w14:textId="77777777" w:rsidR="000A5C33" w:rsidRPr="009709E8" w:rsidRDefault="000A5C33" w:rsidP="00B01DEF">
            <w:pPr>
              <w:pStyle w:val="NormalWeb"/>
              <w:rPr>
                <w:rFonts w:eastAsiaTheme="majorEastAsia"/>
                <w:b/>
                <w:bCs/>
                <w:sz w:val="28"/>
                <w:szCs w:val="28"/>
              </w:rPr>
            </w:pPr>
            <w:proofErr w:type="spellStart"/>
            <w:r w:rsidRPr="009709E8">
              <w:rPr>
                <w:rFonts w:eastAsiaTheme="majorEastAsia"/>
                <w:b/>
                <w:bCs/>
                <w:sz w:val="28"/>
                <w:szCs w:val="28"/>
              </w:rPr>
              <w:t>Yotta</w:t>
            </w:r>
            <w:proofErr w:type="spellEnd"/>
            <w:r w:rsidRPr="009709E8">
              <w:rPr>
                <w:rFonts w:eastAsiaTheme="majorEastAsia"/>
                <w:b/>
                <w:bCs/>
                <w:sz w:val="28"/>
                <w:szCs w:val="28"/>
              </w:rPr>
              <w:t xml:space="preserve"> NM1 India Tier IV (Asia)</w:t>
            </w:r>
          </w:p>
        </w:tc>
        <w:tc>
          <w:tcPr>
            <w:tcW w:w="0" w:type="auto"/>
            <w:vAlign w:val="center"/>
            <w:hideMark/>
          </w:tcPr>
          <w:p w14:paraId="3D896523" w14:textId="77777777" w:rsidR="000A5C33" w:rsidRPr="009709E8" w:rsidRDefault="000A5C33" w:rsidP="00B01DEF">
            <w:pPr>
              <w:pStyle w:val="NormalWeb"/>
              <w:rPr>
                <w:rFonts w:eastAsiaTheme="majorEastAsia"/>
                <w:b/>
                <w:bCs/>
                <w:sz w:val="28"/>
                <w:szCs w:val="28"/>
              </w:rPr>
            </w:pPr>
            <w:r w:rsidRPr="009709E8">
              <w:rPr>
                <w:rFonts w:eastAsiaTheme="majorEastAsia"/>
                <w:b/>
                <w:bCs/>
                <w:sz w:val="28"/>
                <w:szCs w:val="28"/>
              </w:rPr>
              <w:t>50–60 MW</w:t>
            </w:r>
          </w:p>
        </w:tc>
        <w:tc>
          <w:tcPr>
            <w:tcW w:w="0" w:type="auto"/>
            <w:vAlign w:val="center"/>
            <w:hideMark/>
          </w:tcPr>
          <w:p w14:paraId="5AF9D7CA" w14:textId="77777777" w:rsidR="000A5C33" w:rsidRPr="009709E8" w:rsidRDefault="000A5C33" w:rsidP="00B01DEF">
            <w:pPr>
              <w:pStyle w:val="NormalWeb"/>
              <w:rPr>
                <w:rFonts w:eastAsiaTheme="majorEastAsia"/>
                <w:b/>
                <w:bCs/>
                <w:sz w:val="28"/>
                <w:szCs w:val="28"/>
              </w:rPr>
            </w:pPr>
            <w:r w:rsidRPr="009709E8">
              <w:rPr>
                <w:rFonts w:eastAsiaTheme="majorEastAsia"/>
                <w:b/>
                <w:bCs/>
                <w:sz w:val="28"/>
                <w:szCs w:val="28"/>
              </w:rPr>
              <w:t>Confidential</w:t>
            </w:r>
          </w:p>
        </w:tc>
        <w:tc>
          <w:tcPr>
            <w:tcW w:w="0" w:type="auto"/>
            <w:vAlign w:val="center"/>
            <w:hideMark/>
          </w:tcPr>
          <w:p w14:paraId="3DD845B0" w14:textId="77777777" w:rsidR="000A5C33" w:rsidRPr="009709E8" w:rsidRDefault="000A5C33" w:rsidP="00B01DEF">
            <w:pPr>
              <w:pStyle w:val="NormalWeb"/>
              <w:rPr>
                <w:rFonts w:eastAsiaTheme="majorEastAsia"/>
                <w:b/>
                <w:bCs/>
                <w:sz w:val="28"/>
                <w:szCs w:val="28"/>
              </w:rPr>
            </w:pPr>
            <w:r w:rsidRPr="009709E8">
              <w:rPr>
                <w:rFonts w:eastAsiaTheme="majorEastAsia"/>
                <w:b/>
                <w:bCs/>
                <w:sz w:val="28"/>
                <w:szCs w:val="28"/>
              </w:rPr>
              <w:t>€11–13M/MW</w:t>
            </w:r>
          </w:p>
        </w:tc>
      </w:tr>
    </w:tbl>
    <w:p w14:paraId="491891AF" w14:textId="19AABE11" w:rsidR="000A5C33" w:rsidRPr="00B64820" w:rsidRDefault="00B64820" w:rsidP="000A5C33">
      <w:pPr>
        <w:pStyle w:val="NormalWeb"/>
        <w:rPr>
          <w:rFonts w:eastAsiaTheme="majorEastAsia"/>
          <w:b/>
          <w:bCs/>
          <w:sz w:val="28"/>
          <w:szCs w:val="28"/>
        </w:rPr>
      </w:pPr>
      <w:r w:rsidRPr="00B64820">
        <w:rPr>
          <w:rFonts w:eastAsiaTheme="majorEastAsia"/>
          <w:b/>
          <w:bCs/>
          <w:sz w:val="28"/>
          <w:szCs w:val="28"/>
        </w:rPr>
        <w:lastRenderedPageBreak/>
        <w:t>2.4 NOI Calculation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3"/>
        <w:gridCol w:w="5457"/>
      </w:tblGrid>
      <w:tr w:rsidR="00B64820" w:rsidRPr="00B64820" w14:paraId="768E143E" w14:textId="77777777" w:rsidTr="00B01DEF">
        <w:trPr>
          <w:tblHeader/>
          <w:tblCellSpacing w:w="15" w:type="dxa"/>
        </w:trPr>
        <w:tc>
          <w:tcPr>
            <w:tcW w:w="0" w:type="auto"/>
            <w:vAlign w:val="center"/>
            <w:hideMark/>
          </w:tcPr>
          <w:p w14:paraId="435B9E0A" w14:textId="77777777" w:rsidR="00B64820" w:rsidRPr="00B64820" w:rsidRDefault="00B64820" w:rsidP="00B01DEF">
            <w:pPr>
              <w:pStyle w:val="NormalWeb"/>
              <w:rPr>
                <w:rFonts w:eastAsiaTheme="majorEastAsia"/>
                <w:b/>
                <w:bCs/>
                <w:sz w:val="28"/>
                <w:szCs w:val="28"/>
              </w:rPr>
            </w:pPr>
            <w:r w:rsidRPr="00B64820">
              <w:rPr>
                <w:rFonts w:eastAsiaTheme="majorEastAsia"/>
                <w:b/>
                <w:bCs/>
                <w:sz w:val="28"/>
                <w:szCs w:val="28"/>
              </w:rPr>
              <w:t>Metric</w:t>
            </w:r>
          </w:p>
        </w:tc>
        <w:tc>
          <w:tcPr>
            <w:tcW w:w="0" w:type="auto"/>
            <w:vAlign w:val="center"/>
            <w:hideMark/>
          </w:tcPr>
          <w:p w14:paraId="2CCAAE51" w14:textId="77777777" w:rsidR="00B64820" w:rsidRPr="00B64820" w:rsidRDefault="00B64820" w:rsidP="00B01DEF">
            <w:pPr>
              <w:pStyle w:val="NormalWeb"/>
              <w:rPr>
                <w:rFonts w:eastAsiaTheme="majorEastAsia"/>
                <w:b/>
                <w:bCs/>
                <w:sz w:val="28"/>
                <w:szCs w:val="28"/>
              </w:rPr>
            </w:pPr>
            <w:r w:rsidRPr="00B64820">
              <w:rPr>
                <w:rFonts w:eastAsiaTheme="majorEastAsia"/>
                <w:b/>
                <w:bCs/>
                <w:sz w:val="28"/>
                <w:szCs w:val="28"/>
              </w:rPr>
              <w:t>Value</w:t>
            </w:r>
          </w:p>
        </w:tc>
      </w:tr>
      <w:tr w:rsidR="00B64820" w:rsidRPr="00B64820" w14:paraId="5AA3A7FB" w14:textId="77777777" w:rsidTr="00B01DEF">
        <w:trPr>
          <w:tblCellSpacing w:w="15" w:type="dxa"/>
        </w:trPr>
        <w:tc>
          <w:tcPr>
            <w:tcW w:w="0" w:type="auto"/>
            <w:vAlign w:val="center"/>
            <w:hideMark/>
          </w:tcPr>
          <w:p w14:paraId="43AB7EEA" w14:textId="77777777" w:rsidR="00B64820" w:rsidRPr="00B64820" w:rsidRDefault="00B64820" w:rsidP="00B01DEF">
            <w:pPr>
              <w:pStyle w:val="NormalWeb"/>
              <w:rPr>
                <w:rFonts w:eastAsiaTheme="majorEastAsia"/>
                <w:b/>
                <w:bCs/>
                <w:sz w:val="28"/>
                <w:szCs w:val="28"/>
              </w:rPr>
            </w:pPr>
            <w:r w:rsidRPr="00B64820">
              <w:rPr>
                <w:rFonts w:eastAsiaTheme="majorEastAsia"/>
                <w:b/>
                <w:bCs/>
                <w:sz w:val="28"/>
                <w:szCs w:val="28"/>
              </w:rPr>
              <w:t>IT Load</w:t>
            </w:r>
          </w:p>
        </w:tc>
        <w:tc>
          <w:tcPr>
            <w:tcW w:w="0" w:type="auto"/>
            <w:vAlign w:val="center"/>
            <w:hideMark/>
          </w:tcPr>
          <w:p w14:paraId="2530C288" w14:textId="77777777" w:rsidR="00B64820" w:rsidRPr="00B64820" w:rsidRDefault="00B64820" w:rsidP="00B01DEF">
            <w:pPr>
              <w:pStyle w:val="NormalWeb"/>
              <w:rPr>
                <w:rFonts w:eastAsiaTheme="majorEastAsia"/>
                <w:b/>
                <w:bCs/>
                <w:sz w:val="28"/>
                <w:szCs w:val="28"/>
              </w:rPr>
            </w:pPr>
            <w:r w:rsidRPr="00B64820">
              <w:rPr>
                <w:rFonts w:eastAsiaTheme="majorEastAsia"/>
                <w:b/>
                <w:bCs/>
                <w:sz w:val="28"/>
                <w:szCs w:val="28"/>
              </w:rPr>
              <w:t>89 MW</w:t>
            </w:r>
          </w:p>
        </w:tc>
      </w:tr>
      <w:tr w:rsidR="00B64820" w:rsidRPr="00B64820" w14:paraId="102289F2" w14:textId="77777777" w:rsidTr="00B01DEF">
        <w:trPr>
          <w:tblCellSpacing w:w="15" w:type="dxa"/>
        </w:trPr>
        <w:tc>
          <w:tcPr>
            <w:tcW w:w="0" w:type="auto"/>
            <w:vAlign w:val="center"/>
            <w:hideMark/>
          </w:tcPr>
          <w:p w14:paraId="53703A73" w14:textId="77777777" w:rsidR="00B64820" w:rsidRPr="00B64820" w:rsidRDefault="00B64820" w:rsidP="00B01DEF">
            <w:pPr>
              <w:pStyle w:val="NormalWeb"/>
              <w:rPr>
                <w:rFonts w:eastAsiaTheme="majorEastAsia"/>
                <w:b/>
                <w:bCs/>
                <w:sz w:val="28"/>
                <w:szCs w:val="28"/>
              </w:rPr>
            </w:pPr>
            <w:r w:rsidRPr="00B64820">
              <w:rPr>
                <w:rFonts w:eastAsiaTheme="majorEastAsia"/>
                <w:b/>
                <w:bCs/>
                <w:sz w:val="28"/>
                <w:szCs w:val="28"/>
              </w:rPr>
              <w:t>Gross Rent (Annual)</w:t>
            </w:r>
          </w:p>
        </w:tc>
        <w:tc>
          <w:tcPr>
            <w:tcW w:w="0" w:type="auto"/>
            <w:vAlign w:val="center"/>
            <w:hideMark/>
          </w:tcPr>
          <w:p w14:paraId="137F27B2" w14:textId="3BC520F7" w:rsidR="00B64820" w:rsidRPr="00B64820" w:rsidRDefault="00942E54" w:rsidP="00B01DEF">
            <w:pPr>
              <w:pStyle w:val="NormalWeb"/>
              <w:rPr>
                <w:rFonts w:eastAsiaTheme="majorEastAsia"/>
                <w:b/>
                <w:bCs/>
                <w:sz w:val="28"/>
                <w:szCs w:val="28"/>
              </w:rPr>
            </w:pPr>
            <w:r w:rsidRPr="00B64820">
              <w:rPr>
                <w:rFonts w:eastAsiaTheme="majorEastAsia"/>
                <w:b/>
                <w:bCs/>
                <w:sz w:val="28"/>
                <w:szCs w:val="28"/>
              </w:rPr>
              <w:t>€</w:t>
            </w:r>
            <w:r>
              <w:rPr>
                <w:rFonts w:eastAsiaTheme="majorEastAsia"/>
                <w:b/>
                <w:bCs/>
                <w:sz w:val="28"/>
                <w:szCs w:val="28"/>
              </w:rPr>
              <w:t>136,305</w:t>
            </w:r>
            <w:r w:rsidRPr="00B64820">
              <w:rPr>
                <w:rFonts w:eastAsiaTheme="majorEastAsia"/>
                <w:b/>
                <w:bCs/>
                <w:sz w:val="28"/>
                <w:szCs w:val="28"/>
              </w:rPr>
              <w:t xml:space="preserve">,000/year </w:t>
            </w:r>
            <w:r w:rsidR="00B64820" w:rsidRPr="00B64820">
              <w:rPr>
                <w:rFonts w:eastAsiaTheme="majorEastAsia"/>
                <w:b/>
                <w:bCs/>
                <w:sz w:val="28"/>
                <w:szCs w:val="28"/>
              </w:rPr>
              <w:t>(89 MW × €1</w:t>
            </w:r>
            <w:r w:rsidR="009709E8">
              <w:rPr>
                <w:rFonts w:eastAsiaTheme="majorEastAsia"/>
                <w:b/>
                <w:bCs/>
                <w:sz w:val="28"/>
                <w:szCs w:val="28"/>
              </w:rPr>
              <w:t>27</w:t>
            </w:r>
            <w:r w:rsidR="00B64820" w:rsidRPr="00B64820">
              <w:rPr>
                <w:rFonts w:eastAsiaTheme="majorEastAsia"/>
                <w:b/>
                <w:bCs/>
                <w:sz w:val="28"/>
                <w:szCs w:val="28"/>
              </w:rPr>
              <w:t>kW/month × 12)</w:t>
            </w:r>
          </w:p>
        </w:tc>
      </w:tr>
      <w:tr w:rsidR="00B64820" w:rsidRPr="00B64820" w14:paraId="4D75100F" w14:textId="77777777" w:rsidTr="00B01DEF">
        <w:trPr>
          <w:tblCellSpacing w:w="15" w:type="dxa"/>
        </w:trPr>
        <w:tc>
          <w:tcPr>
            <w:tcW w:w="0" w:type="auto"/>
            <w:vAlign w:val="center"/>
            <w:hideMark/>
          </w:tcPr>
          <w:p w14:paraId="1812B7D2" w14:textId="32B1943A" w:rsidR="00B64820" w:rsidRPr="00B64820" w:rsidRDefault="00B64820" w:rsidP="00B01DEF">
            <w:pPr>
              <w:pStyle w:val="NormalWeb"/>
              <w:rPr>
                <w:rFonts w:eastAsiaTheme="majorEastAsia"/>
                <w:b/>
                <w:bCs/>
                <w:sz w:val="28"/>
                <w:szCs w:val="28"/>
              </w:rPr>
            </w:pPr>
            <w:r w:rsidRPr="00B64820">
              <w:rPr>
                <w:rFonts w:eastAsiaTheme="majorEastAsia"/>
                <w:b/>
                <w:bCs/>
                <w:sz w:val="28"/>
                <w:szCs w:val="28"/>
              </w:rPr>
              <w:t>OPEX</w:t>
            </w:r>
          </w:p>
        </w:tc>
        <w:tc>
          <w:tcPr>
            <w:tcW w:w="0" w:type="auto"/>
            <w:vAlign w:val="center"/>
            <w:hideMark/>
          </w:tcPr>
          <w:p w14:paraId="2122C1E4" w14:textId="34661AF1" w:rsidR="00B64820" w:rsidRPr="00B64820" w:rsidRDefault="00B64820" w:rsidP="00B01DEF">
            <w:pPr>
              <w:pStyle w:val="NormalWeb"/>
              <w:rPr>
                <w:rFonts w:eastAsiaTheme="majorEastAsia"/>
                <w:b/>
                <w:bCs/>
                <w:sz w:val="28"/>
                <w:szCs w:val="28"/>
              </w:rPr>
            </w:pPr>
            <w:r w:rsidRPr="00B64820">
              <w:rPr>
                <w:rFonts w:eastAsiaTheme="majorEastAsia"/>
                <w:b/>
                <w:bCs/>
                <w:sz w:val="28"/>
                <w:szCs w:val="28"/>
              </w:rPr>
              <w:t>€</w:t>
            </w:r>
            <w:r w:rsidR="009709E8">
              <w:rPr>
                <w:rFonts w:eastAsiaTheme="majorEastAsia"/>
                <w:b/>
                <w:bCs/>
                <w:sz w:val="28"/>
                <w:szCs w:val="28"/>
              </w:rPr>
              <w:t>36,273</w:t>
            </w:r>
            <w:r w:rsidRPr="00B64820">
              <w:rPr>
                <w:rFonts w:eastAsiaTheme="majorEastAsia"/>
                <w:b/>
                <w:bCs/>
                <w:sz w:val="28"/>
                <w:szCs w:val="28"/>
              </w:rPr>
              <w:t>,000 (89 MW × €150k)</w:t>
            </w:r>
          </w:p>
        </w:tc>
      </w:tr>
      <w:tr w:rsidR="00B64820" w:rsidRPr="00B64820" w14:paraId="18A7DC4B" w14:textId="77777777" w:rsidTr="00B01DEF">
        <w:trPr>
          <w:tblCellSpacing w:w="15" w:type="dxa"/>
        </w:trPr>
        <w:tc>
          <w:tcPr>
            <w:tcW w:w="0" w:type="auto"/>
            <w:vAlign w:val="center"/>
            <w:hideMark/>
          </w:tcPr>
          <w:p w14:paraId="1EF5ED30" w14:textId="77777777" w:rsidR="00B64820" w:rsidRPr="00B64820" w:rsidRDefault="00B64820" w:rsidP="00B01DEF">
            <w:pPr>
              <w:pStyle w:val="NormalWeb"/>
              <w:rPr>
                <w:rFonts w:eastAsiaTheme="majorEastAsia"/>
                <w:b/>
                <w:bCs/>
                <w:sz w:val="28"/>
                <w:szCs w:val="28"/>
              </w:rPr>
            </w:pPr>
            <w:r w:rsidRPr="00B64820">
              <w:rPr>
                <w:rFonts w:eastAsiaTheme="majorEastAsia"/>
                <w:b/>
                <w:bCs/>
                <w:sz w:val="28"/>
                <w:szCs w:val="28"/>
              </w:rPr>
              <w:t>Net Operating Income (NOI)</w:t>
            </w:r>
          </w:p>
        </w:tc>
        <w:tc>
          <w:tcPr>
            <w:tcW w:w="0" w:type="auto"/>
            <w:vAlign w:val="center"/>
            <w:hideMark/>
          </w:tcPr>
          <w:p w14:paraId="5B9906D4" w14:textId="053DF875" w:rsidR="00B64820" w:rsidRPr="00B64820" w:rsidRDefault="009709E8" w:rsidP="00B01DEF">
            <w:pPr>
              <w:pStyle w:val="NormalWeb"/>
              <w:rPr>
                <w:rFonts w:eastAsiaTheme="majorEastAsia"/>
                <w:b/>
                <w:bCs/>
                <w:sz w:val="28"/>
                <w:szCs w:val="28"/>
              </w:rPr>
            </w:pPr>
            <w:r w:rsidRPr="00B64820">
              <w:rPr>
                <w:rFonts w:eastAsiaTheme="majorEastAsia"/>
                <w:b/>
                <w:bCs/>
                <w:sz w:val="28"/>
                <w:szCs w:val="28"/>
              </w:rPr>
              <w:t>€</w:t>
            </w:r>
            <w:r>
              <w:rPr>
                <w:rFonts w:eastAsiaTheme="majorEastAsia"/>
                <w:b/>
                <w:bCs/>
                <w:sz w:val="28"/>
                <w:szCs w:val="28"/>
              </w:rPr>
              <w:t>100,032,</w:t>
            </w:r>
            <w:r w:rsidRPr="00B64820">
              <w:rPr>
                <w:rFonts w:eastAsiaTheme="majorEastAsia"/>
                <w:b/>
                <w:bCs/>
                <w:sz w:val="28"/>
                <w:szCs w:val="28"/>
              </w:rPr>
              <w:t>000/year</w:t>
            </w:r>
          </w:p>
        </w:tc>
      </w:tr>
    </w:tbl>
    <w:p w14:paraId="10EBDBCA" w14:textId="77777777" w:rsidR="00B64820" w:rsidRPr="000A5C33" w:rsidRDefault="00B64820" w:rsidP="000A5C33">
      <w:pPr>
        <w:pStyle w:val="NormalWeb"/>
        <w:rPr>
          <w:sz w:val="28"/>
          <w:szCs w:val="28"/>
        </w:rPr>
      </w:pPr>
    </w:p>
    <w:p w14:paraId="06B80340" w14:textId="3A24F845" w:rsidR="000A5C33" w:rsidRPr="000A5C33" w:rsidRDefault="000A5C33" w:rsidP="000A5C33">
      <w:pPr>
        <w:pStyle w:val="NormalWeb"/>
        <w:rPr>
          <w:sz w:val="28"/>
          <w:szCs w:val="28"/>
        </w:rPr>
      </w:pPr>
    </w:p>
    <w:sectPr w:rsidR="000A5C33" w:rsidRPr="000A5C33" w:rsidSect="00F31B71">
      <w:headerReference w:type="default" r:id="rId8"/>
      <w:headerReference w:type="first" r:id="rId9"/>
      <w:footerReference w:type="first" r:id="rId10"/>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48B77" w14:textId="77777777" w:rsidR="00FB624A" w:rsidRDefault="00FB624A" w:rsidP="00F31B71">
      <w:pPr>
        <w:spacing w:after="0" w:line="240" w:lineRule="auto"/>
      </w:pPr>
      <w:r>
        <w:separator/>
      </w:r>
    </w:p>
  </w:endnote>
  <w:endnote w:type="continuationSeparator" w:id="0">
    <w:p w14:paraId="1F71C4F7" w14:textId="77777777" w:rsidR="00FB624A" w:rsidRDefault="00FB624A" w:rsidP="00F31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617337"/>
      <w:docPartObj>
        <w:docPartGallery w:val="Page Numbers (Bottom of Page)"/>
        <w:docPartUnique/>
      </w:docPartObj>
    </w:sdtPr>
    <w:sdtEndPr>
      <w:rPr>
        <w:noProof/>
      </w:rPr>
    </w:sdtEndPr>
    <w:sdtContent>
      <w:p w14:paraId="36AA8D2F" w14:textId="2CDD8AF6" w:rsidR="00F31B71" w:rsidRDefault="00F31B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8CE1F0" w14:textId="1AFEA91D" w:rsidR="00F31B71" w:rsidRPr="00F31B71" w:rsidRDefault="00F31B71">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D1B4C" w14:textId="77777777" w:rsidR="00FB624A" w:rsidRDefault="00FB624A" w:rsidP="00F31B71">
      <w:pPr>
        <w:spacing w:after="0" w:line="240" w:lineRule="auto"/>
      </w:pPr>
      <w:r>
        <w:separator/>
      </w:r>
    </w:p>
  </w:footnote>
  <w:footnote w:type="continuationSeparator" w:id="0">
    <w:p w14:paraId="29C9CB01" w14:textId="77777777" w:rsidR="00FB624A" w:rsidRDefault="00FB624A" w:rsidP="00F31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4EBF9" w14:textId="4461D70B" w:rsidR="00F5579F" w:rsidRDefault="00F5579F">
    <w:pPr>
      <w:pStyle w:val="Header"/>
    </w:pPr>
    <w:r>
      <w:t>EXAMPLE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346C9" w14:textId="77777777" w:rsidR="0091634E" w:rsidRPr="00EF0A8D" w:rsidRDefault="0091634E" w:rsidP="0091634E">
    <w:pPr>
      <w:pStyle w:val="Header"/>
    </w:pPr>
    <w:proofErr w:type="spellStart"/>
    <w:r w:rsidRPr="00EF0A8D">
      <w:t>Covilhã</w:t>
    </w:r>
    <w:proofErr w:type="spellEnd"/>
    <w:r w:rsidRPr="00EF0A8D">
      <w:t>, Portuga</w:t>
    </w:r>
    <w:r>
      <w:t>l</w:t>
    </w:r>
  </w:p>
  <w:p w14:paraId="72B760DF" w14:textId="3009B822" w:rsidR="00F31B71" w:rsidRDefault="00F31B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44110A"/>
    <w:multiLevelType w:val="multilevel"/>
    <w:tmpl w:val="D6C6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AF0C4C"/>
    <w:multiLevelType w:val="multilevel"/>
    <w:tmpl w:val="ECB8C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36CFE"/>
    <w:multiLevelType w:val="multilevel"/>
    <w:tmpl w:val="166A468C"/>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6956A8"/>
    <w:multiLevelType w:val="multilevel"/>
    <w:tmpl w:val="456244CC"/>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797D75"/>
    <w:multiLevelType w:val="multilevel"/>
    <w:tmpl w:val="89FE7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480042"/>
    <w:multiLevelType w:val="multilevel"/>
    <w:tmpl w:val="FF40C4D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236D88"/>
    <w:multiLevelType w:val="multilevel"/>
    <w:tmpl w:val="86DE8E7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E73CD3"/>
    <w:multiLevelType w:val="multilevel"/>
    <w:tmpl w:val="5E2297E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E06849"/>
    <w:multiLevelType w:val="multilevel"/>
    <w:tmpl w:val="1E724E1E"/>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FB217C"/>
    <w:multiLevelType w:val="multilevel"/>
    <w:tmpl w:val="9132D10E"/>
    <w:lvl w:ilvl="0">
      <w:start w:val="1"/>
      <w:numFmt w:val="decimal"/>
      <w:lvlText w:val="%1.0"/>
      <w:lvlJc w:val="left"/>
      <w:pPr>
        <w:ind w:left="405" w:hanging="405"/>
      </w:pPr>
      <w:rPr>
        <w:rFonts w:hint="default"/>
        <w:b w:val="0"/>
      </w:rPr>
    </w:lvl>
    <w:lvl w:ilvl="1">
      <w:start w:val="1"/>
      <w:numFmt w:val="decimal"/>
      <w:lvlText w:val="%1.%2"/>
      <w:lvlJc w:val="left"/>
      <w:pPr>
        <w:ind w:left="1125" w:hanging="40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560" w:hanging="1800"/>
      </w:pPr>
      <w:rPr>
        <w:rFonts w:hint="default"/>
        <w:b w:val="0"/>
      </w:rPr>
    </w:lvl>
  </w:abstractNum>
  <w:abstractNum w:abstractNumId="19" w15:restartNumberingAfterBreak="0">
    <w:nsid w:val="2A925CDC"/>
    <w:multiLevelType w:val="hybridMultilevel"/>
    <w:tmpl w:val="355ED95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0C827C1"/>
    <w:multiLevelType w:val="multilevel"/>
    <w:tmpl w:val="8B02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177A6A"/>
    <w:multiLevelType w:val="multilevel"/>
    <w:tmpl w:val="3528A9F2"/>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7B66FC"/>
    <w:multiLevelType w:val="multilevel"/>
    <w:tmpl w:val="2794D744"/>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4B4CA6"/>
    <w:multiLevelType w:val="multilevel"/>
    <w:tmpl w:val="796E0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CD5151"/>
    <w:multiLevelType w:val="multilevel"/>
    <w:tmpl w:val="A6CA42E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DE7BA9"/>
    <w:multiLevelType w:val="multilevel"/>
    <w:tmpl w:val="8C72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1843D4"/>
    <w:multiLevelType w:val="multilevel"/>
    <w:tmpl w:val="D708D8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B96FE6"/>
    <w:multiLevelType w:val="multilevel"/>
    <w:tmpl w:val="42B8070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677689"/>
    <w:multiLevelType w:val="multilevel"/>
    <w:tmpl w:val="53A2F736"/>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477D58"/>
    <w:multiLevelType w:val="multilevel"/>
    <w:tmpl w:val="BE52CD5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E18C8"/>
    <w:multiLevelType w:val="multilevel"/>
    <w:tmpl w:val="C766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AC293A"/>
    <w:multiLevelType w:val="multilevel"/>
    <w:tmpl w:val="808C025C"/>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1838A2"/>
    <w:multiLevelType w:val="multilevel"/>
    <w:tmpl w:val="B9EAD4E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9"/>
  </w:num>
  <w:num w:numId="11">
    <w:abstractNumId w:val="18"/>
  </w:num>
  <w:num w:numId="12">
    <w:abstractNumId w:val="30"/>
  </w:num>
  <w:num w:numId="13">
    <w:abstractNumId w:val="26"/>
  </w:num>
  <w:num w:numId="14">
    <w:abstractNumId w:val="27"/>
  </w:num>
  <w:num w:numId="15">
    <w:abstractNumId w:val="14"/>
  </w:num>
  <w:num w:numId="16">
    <w:abstractNumId w:val="24"/>
  </w:num>
  <w:num w:numId="17">
    <w:abstractNumId w:val="15"/>
  </w:num>
  <w:num w:numId="18">
    <w:abstractNumId w:val="16"/>
  </w:num>
  <w:num w:numId="19">
    <w:abstractNumId w:val="32"/>
  </w:num>
  <w:num w:numId="20">
    <w:abstractNumId w:val="29"/>
  </w:num>
  <w:num w:numId="21">
    <w:abstractNumId w:val="31"/>
  </w:num>
  <w:num w:numId="22">
    <w:abstractNumId w:val="12"/>
  </w:num>
  <w:num w:numId="23">
    <w:abstractNumId w:val="28"/>
  </w:num>
  <w:num w:numId="24">
    <w:abstractNumId w:val="21"/>
  </w:num>
  <w:num w:numId="25">
    <w:abstractNumId w:val="11"/>
  </w:num>
  <w:num w:numId="26">
    <w:abstractNumId w:val="17"/>
  </w:num>
  <w:num w:numId="27">
    <w:abstractNumId w:val="22"/>
  </w:num>
  <w:num w:numId="28">
    <w:abstractNumId w:val="13"/>
  </w:num>
  <w:num w:numId="29">
    <w:abstractNumId w:val="23"/>
  </w:num>
  <w:num w:numId="30">
    <w:abstractNumId w:val="10"/>
  </w:num>
  <w:num w:numId="31">
    <w:abstractNumId w:val="25"/>
  </w:num>
  <w:num w:numId="32">
    <w:abstractNumId w:val="20"/>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30C"/>
    <w:rsid w:val="00034616"/>
    <w:rsid w:val="00051035"/>
    <w:rsid w:val="0006063C"/>
    <w:rsid w:val="000A5C33"/>
    <w:rsid w:val="000B3222"/>
    <w:rsid w:val="0015074B"/>
    <w:rsid w:val="0017061C"/>
    <w:rsid w:val="00171DF3"/>
    <w:rsid w:val="002420F7"/>
    <w:rsid w:val="002601AF"/>
    <w:rsid w:val="0027499C"/>
    <w:rsid w:val="002808CE"/>
    <w:rsid w:val="0029639D"/>
    <w:rsid w:val="002B4F5E"/>
    <w:rsid w:val="00326F90"/>
    <w:rsid w:val="00364BF1"/>
    <w:rsid w:val="0039656C"/>
    <w:rsid w:val="003C6D14"/>
    <w:rsid w:val="00420E31"/>
    <w:rsid w:val="00423315"/>
    <w:rsid w:val="0042798F"/>
    <w:rsid w:val="00466B90"/>
    <w:rsid w:val="004B20BB"/>
    <w:rsid w:val="004D2BCC"/>
    <w:rsid w:val="004E7A95"/>
    <w:rsid w:val="005532DA"/>
    <w:rsid w:val="0057494E"/>
    <w:rsid w:val="005A7A10"/>
    <w:rsid w:val="005C559F"/>
    <w:rsid w:val="005E412D"/>
    <w:rsid w:val="00652018"/>
    <w:rsid w:val="006957B1"/>
    <w:rsid w:val="006A5E3B"/>
    <w:rsid w:val="007A5809"/>
    <w:rsid w:val="00812085"/>
    <w:rsid w:val="008308A9"/>
    <w:rsid w:val="00841BAF"/>
    <w:rsid w:val="00857F0F"/>
    <w:rsid w:val="008879D4"/>
    <w:rsid w:val="00890390"/>
    <w:rsid w:val="008B62D3"/>
    <w:rsid w:val="008E4684"/>
    <w:rsid w:val="00902CCB"/>
    <w:rsid w:val="0091634E"/>
    <w:rsid w:val="009263A5"/>
    <w:rsid w:val="00942E54"/>
    <w:rsid w:val="009709E8"/>
    <w:rsid w:val="00996FB3"/>
    <w:rsid w:val="009C666F"/>
    <w:rsid w:val="009D4A37"/>
    <w:rsid w:val="009E4481"/>
    <w:rsid w:val="00A14848"/>
    <w:rsid w:val="00A94111"/>
    <w:rsid w:val="00A964AB"/>
    <w:rsid w:val="00AA1D8D"/>
    <w:rsid w:val="00AB4890"/>
    <w:rsid w:val="00B31EED"/>
    <w:rsid w:val="00B47730"/>
    <w:rsid w:val="00B62C48"/>
    <w:rsid w:val="00B64820"/>
    <w:rsid w:val="00BF10FE"/>
    <w:rsid w:val="00C31823"/>
    <w:rsid w:val="00C46E10"/>
    <w:rsid w:val="00C55C01"/>
    <w:rsid w:val="00CA36ED"/>
    <w:rsid w:val="00CB0664"/>
    <w:rsid w:val="00CD0CE9"/>
    <w:rsid w:val="00E47C77"/>
    <w:rsid w:val="00E655C2"/>
    <w:rsid w:val="00E90F04"/>
    <w:rsid w:val="00EA5263"/>
    <w:rsid w:val="00ED7933"/>
    <w:rsid w:val="00EF53B3"/>
    <w:rsid w:val="00F06E6A"/>
    <w:rsid w:val="00F2568F"/>
    <w:rsid w:val="00F30990"/>
    <w:rsid w:val="00F31B71"/>
    <w:rsid w:val="00F46256"/>
    <w:rsid w:val="00F5579F"/>
    <w:rsid w:val="00FB4511"/>
    <w:rsid w:val="00FB624A"/>
    <w:rsid w:val="00FC68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B4940"/>
  <w14:defaultImageDpi w14:val="300"/>
  <w15:docId w15:val="{98591165-6C7B-4BDB-92D5-D739AA0C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812085"/>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0527">
      <w:bodyDiv w:val="1"/>
      <w:marLeft w:val="0"/>
      <w:marRight w:val="0"/>
      <w:marTop w:val="0"/>
      <w:marBottom w:val="0"/>
      <w:divBdr>
        <w:top w:val="none" w:sz="0" w:space="0" w:color="auto"/>
        <w:left w:val="none" w:sz="0" w:space="0" w:color="auto"/>
        <w:bottom w:val="none" w:sz="0" w:space="0" w:color="auto"/>
        <w:right w:val="none" w:sz="0" w:space="0" w:color="auto"/>
      </w:divBdr>
      <w:divsChild>
        <w:div w:id="1423377852">
          <w:marLeft w:val="0"/>
          <w:marRight w:val="0"/>
          <w:marTop w:val="0"/>
          <w:marBottom w:val="0"/>
          <w:divBdr>
            <w:top w:val="none" w:sz="0" w:space="0" w:color="auto"/>
            <w:left w:val="none" w:sz="0" w:space="0" w:color="auto"/>
            <w:bottom w:val="none" w:sz="0" w:space="0" w:color="auto"/>
            <w:right w:val="none" w:sz="0" w:space="0" w:color="auto"/>
          </w:divBdr>
          <w:divsChild>
            <w:div w:id="2301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0168">
      <w:bodyDiv w:val="1"/>
      <w:marLeft w:val="0"/>
      <w:marRight w:val="0"/>
      <w:marTop w:val="0"/>
      <w:marBottom w:val="0"/>
      <w:divBdr>
        <w:top w:val="none" w:sz="0" w:space="0" w:color="auto"/>
        <w:left w:val="none" w:sz="0" w:space="0" w:color="auto"/>
        <w:bottom w:val="none" w:sz="0" w:space="0" w:color="auto"/>
        <w:right w:val="none" w:sz="0" w:space="0" w:color="auto"/>
      </w:divBdr>
    </w:div>
    <w:div w:id="232812616">
      <w:bodyDiv w:val="1"/>
      <w:marLeft w:val="0"/>
      <w:marRight w:val="0"/>
      <w:marTop w:val="0"/>
      <w:marBottom w:val="0"/>
      <w:divBdr>
        <w:top w:val="none" w:sz="0" w:space="0" w:color="auto"/>
        <w:left w:val="none" w:sz="0" w:space="0" w:color="auto"/>
        <w:bottom w:val="none" w:sz="0" w:space="0" w:color="auto"/>
        <w:right w:val="none" w:sz="0" w:space="0" w:color="auto"/>
      </w:divBdr>
    </w:div>
    <w:div w:id="370307586">
      <w:bodyDiv w:val="1"/>
      <w:marLeft w:val="0"/>
      <w:marRight w:val="0"/>
      <w:marTop w:val="0"/>
      <w:marBottom w:val="0"/>
      <w:divBdr>
        <w:top w:val="none" w:sz="0" w:space="0" w:color="auto"/>
        <w:left w:val="none" w:sz="0" w:space="0" w:color="auto"/>
        <w:bottom w:val="none" w:sz="0" w:space="0" w:color="auto"/>
        <w:right w:val="none" w:sz="0" w:space="0" w:color="auto"/>
      </w:divBdr>
    </w:div>
    <w:div w:id="377321220">
      <w:bodyDiv w:val="1"/>
      <w:marLeft w:val="0"/>
      <w:marRight w:val="0"/>
      <w:marTop w:val="0"/>
      <w:marBottom w:val="0"/>
      <w:divBdr>
        <w:top w:val="none" w:sz="0" w:space="0" w:color="auto"/>
        <w:left w:val="none" w:sz="0" w:space="0" w:color="auto"/>
        <w:bottom w:val="none" w:sz="0" w:space="0" w:color="auto"/>
        <w:right w:val="none" w:sz="0" w:space="0" w:color="auto"/>
      </w:divBdr>
    </w:div>
    <w:div w:id="448937925">
      <w:bodyDiv w:val="1"/>
      <w:marLeft w:val="0"/>
      <w:marRight w:val="0"/>
      <w:marTop w:val="0"/>
      <w:marBottom w:val="0"/>
      <w:divBdr>
        <w:top w:val="none" w:sz="0" w:space="0" w:color="auto"/>
        <w:left w:val="none" w:sz="0" w:space="0" w:color="auto"/>
        <w:bottom w:val="none" w:sz="0" w:space="0" w:color="auto"/>
        <w:right w:val="none" w:sz="0" w:space="0" w:color="auto"/>
      </w:divBdr>
      <w:divsChild>
        <w:div w:id="1140150289">
          <w:marLeft w:val="0"/>
          <w:marRight w:val="0"/>
          <w:marTop w:val="0"/>
          <w:marBottom w:val="0"/>
          <w:divBdr>
            <w:top w:val="none" w:sz="0" w:space="0" w:color="auto"/>
            <w:left w:val="none" w:sz="0" w:space="0" w:color="auto"/>
            <w:bottom w:val="none" w:sz="0" w:space="0" w:color="auto"/>
            <w:right w:val="none" w:sz="0" w:space="0" w:color="auto"/>
          </w:divBdr>
          <w:divsChild>
            <w:div w:id="121508727">
              <w:marLeft w:val="0"/>
              <w:marRight w:val="0"/>
              <w:marTop w:val="0"/>
              <w:marBottom w:val="0"/>
              <w:divBdr>
                <w:top w:val="none" w:sz="0" w:space="0" w:color="auto"/>
                <w:left w:val="none" w:sz="0" w:space="0" w:color="auto"/>
                <w:bottom w:val="none" w:sz="0" w:space="0" w:color="auto"/>
                <w:right w:val="none" w:sz="0" w:space="0" w:color="auto"/>
              </w:divBdr>
            </w:div>
          </w:divsChild>
        </w:div>
        <w:div w:id="211842854">
          <w:marLeft w:val="0"/>
          <w:marRight w:val="0"/>
          <w:marTop w:val="0"/>
          <w:marBottom w:val="0"/>
          <w:divBdr>
            <w:top w:val="none" w:sz="0" w:space="0" w:color="auto"/>
            <w:left w:val="none" w:sz="0" w:space="0" w:color="auto"/>
            <w:bottom w:val="none" w:sz="0" w:space="0" w:color="auto"/>
            <w:right w:val="none" w:sz="0" w:space="0" w:color="auto"/>
          </w:divBdr>
          <w:divsChild>
            <w:div w:id="1102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3742">
      <w:bodyDiv w:val="1"/>
      <w:marLeft w:val="0"/>
      <w:marRight w:val="0"/>
      <w:marTop w:val="0"/>
      <w:marBottom w:val="0"/>
      <w:divBdr>
        <w:top w:val="none" w:sz="0" w:space="0" w:color="auto"/>
        <w:left w:val="none" w:sz="0" w:space="0" w:color="auto"/>
        <w:bottom w:val="none" w:sz="0" w:space="0" w:color="auto"/>
        <w:right w:val="none" w:sz="0" w:space="0" w:color="auto"/>
      </w:divBdr>
    </w:div>
    <w:div w:id="614139116">
      <w:bodyDiv w:val="1"/>
      <w:marLeft w:val="0"/>
      <w:marRight w:val="0"/>
      <w:marTop w:val="0"/>
      <w:marBottom w:val="0"/>
      <w:divBdr>
        <w:top w:val="none" w:sz="0" w:space="0" w:color="auto"/>
        <w:left w:val="none" w:sz="0" w:space="0" w:color="auto"/>
        <w:bottom w:val="none" w:sz="0" w:space="0" w:color="auto"/>
        <w:right w:val="none" w:sz="0" w:space="0" w:color="auto"/>
      </w:divBdr>
    </w:div>
    <w:div w:id="643042414">
      <w:bodyDiv w:val="1"/>
      <w:marLeft w:val="0"/>
      <w:marRight w:val="0"/>
      <w:marTop w:val="0"/>
      <w:marBottom w:val="0"/>
      <w:divBdr>
        <w:top w:val="none" w:sz="0" w:space="0" w:color="auto"/>
        <w:left w:val="none" w:sz="0" w:space="0" w:color="auto"/>
        <w:bottom w:val="none" w:sz="0" w:space="0" w:color="auto"/>
        <w:right w:val="none" w:sz="0" w:space="0" w:color="auto"/>
      </w:divBdr>
    </w:div>
    <w:div w:id="686759539">
      <w:bodyDiv w:val="1"/>
      <w:marLeft w:val="0"/>
      <w:marRight w:val="0"/>
      <w:marTop w:val="0"/>
      <w:marBottom w:val="0"/>
      <w:divBdr>
        <w:top w:val="none" w:sz="0" w:space="0" w:color="auto"/>
        <w:left w:val="none" w:sz="0" w:space="0" w:color="auto"/>
        <w:bottom w:val="none" w:sz="0" w:space="0" w:color="auto"/>
        <w:right w:val="none" w:sz="0" w:space="0" w:color="auto"/>
      </w:divBdr>
    </w:div>
    <w:div w:id="772672702">
      <w:bodyDiv w:val="1"/>
      <w:marLeft w:val="0"/>
      <w:marRight w:val="0"/>
      <w:marTop w:val="0"/>
      <w:marBottom w:val="0"/>
      <w:divBdr>
        <w:top w:val="none" w:sz="0" w:space="0" w:color="auto"/>
        <w:left w:val="none" w:sz="0" w:space="0" w:color="auto"/>
        <w:bottom w:val="none" w:sz="0" w:space="0" w:color="auto"/>
        <w:right w:val="none" w:sz="0" w:space="0" w:color="auto"/>
      </w:divBdr>
    </w:div>
    <w:div w:id="919678764">
      <w:bodyDiv w:val="1"/>
      <w:marLeft w:val="0"/>
      <w:marRight w:val="0"/>
      <w:marTop w:val="0"/>
      <w:marBottom w:val="0"/>
      <w:divBdr>
        <w:top w:val="none" w:sz="0" w:space="0" w:color="auto"/>
        <w:left w:val="none" w:sz="0" w:space="0" w:color="auto"/>
        <w:bottom w:val="none" w:sz="0" w:space="0" w:color="auto"/>
        <w:right w:val="none" w:sz="0" w:space="0" w:color="auto"/>
      </w:divBdr>
      <w:divsChild>
        <w:div w:id="672807591">
          <w:marLeft w:val="0"/>
          <w:marRight w:val="0"/>
          <w:marTop w:val="0"/>
          <w:marBottom w:val="0"/>
          <w:divBdr>
            <w:top w:val="none" w:sz="0" w:space="0" w:color="auto"/>
            <w:left w:val="none" w:sz="0" w:space="0" w:color="auto"/>
            <w:bottom w:val="none" w:sz="0" w:space="0" w:color="auto"/>
            <w:right w:val="none" w:sz="0" w:space="0" w:color="auto"/>
          </w:divBdr>
          <w:divsChild>
            <w:div w:id="11304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8870">
      <w:bodyDiv w:val="1"/>
      <w:marLeft w:val="0"/>
      <w:marRight w:val="0"/>
      <w:marTop w:val="0"/>
      <w:marBottom w:val="0"/>
      <w:divBdr>
        <w:top w:val="none" w:sz="0" w:space="0" w:color="auto"/>
        <w:left w:val="none" w:sz="0" w:space="0" w:color="auto"/>
        <w:bottom w:val="none" w:sz="0" w:space="0" w:color="auto"/>
        <w:right w:val="none" w:sz="0" w:space="0" w:color="auto"/>
      </w:divBdr>
      <w:divsChild>
        <w:div w:id="231086360">
          <w:marLeft w:val="0"/>
          <w:marRight w:val="0"/>
          <w:marTop w:val="0"/>
          <w:marBottom w:val="0"/>
          <w:divBdr>
            <w:top w:val="none" w:sz="0" w:space="0" w:color="auto"/>
            <w:left w:val="none" w:sz="0" w:space="0" w:color="auto"/>
            <w:bottom w:val="none" w:sz="0" w:space="0" w:color="auto"/>
            <w:right w:val="none" w:sz="0" w:space="0" w:color="auto"/>
          </w:divBdr>
          <w:divsChild>
            <w:div w:id="18602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61855">
      <w:bodyDiv w:val="1"/>
      <w:marLeft w:val="0"/>
      <w:marRight w:val="0"/>
      <w:marTop w:val="0"/>
      <w:marBottom w:val="0"/>
      <w:divBdr>
        <w:top w:val="none" w:sz="0" w:space="0" w:color="auto"/>
        <w:left w:val="none" w:sz="0" w:space="0" w:color="auto"/>
        <w:bottom w:val="none" w:sz="0" w:space="0" w:color="auto"/>
        <w:right w:val="none" w:sz="0" w:space="0" w:color="auto"/>
      </w:divBdr>
      <w:divsChild>
        <w:div w:id="1712147810">
          <w:marLeft w:val="0"/>
          <w:marRight w:val="0"/>
          <w:marTop w:val="0"/>
          <w:marBottom w:val="0"/>
          <w:divBdr>
            <w:top w:val="none" w:sz="0" w:space="0" w:color="auto"/>
            <w:left w:val="none" w:sz="0" w:space="0" w:color="auto"/>
            <w:bottom w:val="none" w:sz="0" w:space="0" w:color="auto"/>
            <w:right w:val="none" w:sz="0" w:space="0" w:color="auto"/>
          </w:divBdr>
          <w:divsChild>
            <w:div w:id="14185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1612">
      <w:bodyDiv w:val="1"/>
      <w:marLeft w:val="0"/>
      <w:marRight w:val="0"/>
      <w:marTop w:val="0"/>
      <w:marBottom w:val="0"/>
      <w:divBdr>
        <w:top w:val="none" w:sz="0" w:space="0" w:color="auto"/>
        <w:left w:val="none" w:sz="0" w:space="0" w:color="auto"/>
        <w:bottom w:val="none" w:sz="0" w:space="0" w:color="auto"/>
        <w:right w:val="none" w:sz="0" w:space="0" w:color="auto"/>
      </w:divBdr>
      <w:divsChild>
        <w:div w:id="684135933">
          <w:marLeft w:val="0"/>
          <w:marRight w:val="0"/>
          <w:marTop w:val="0"/>
          <w:marBottom w:val="0"/>
          <w:divBdr>
            <w:top w:val="none" w:sz="0" w:space="0" w:color="auto"/>
            <w:left w:val="none" w:sz="0" w:space="0" w:color="auto"/>
            <w:bottom w:val="none" w:sz="0" w:space="0" w:color="auto"/>
            <w:right w:val="none" w:sz="0" w:space="0" w:color="auto"/>
          </w:divBdr>
          <w:divsChild>
            <w:div w:id="19126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0722">
      <w:bodyDiv w:val="1"/>
      <w:marLeft w:val="0"/>
      <w:marRight w:val="0"/>
      <w:marTop w:val="0"/>
      <w:marBottom w:val="0"/>
      <w:divBdr>
        <w:top w:val="none" w:sz="0" w:space="0" w:color="auto"/>
        <w:left w:val="none" w:sz="0" w:space="0" w:color="auto"/>
        <w:bottom w:val="none" w:sz="0" w:space="0" w:color="auto"/>
        <w:right w:val="none" w:sz="0" w:space="0" w:color="auto"/>
      </w:divBdr>
      <w:divsChild>
        <w:div w:id="1907064748">
          <w:marLeft w:val="0"/>
          <w:marRight w:val="0"/>
          <w:marTop w:val="0"/>
          <w:marBottom w:val="0"/>
          <w:divBdr>
            <w:top w:val="none" w:sz="0" w:space="0" w:color="auto"/>
            <w:left w:val="none" w:sz="0" w:space="0" w:color="auto"/>
            <w:bottom w:val="none" w:sz="0" w:space="0" w:color="auto"/>
            <w:right w:val="none" w:sz="0" w:space="0" w:color="auto"/>
          </w:divBdr>
          <w:divsChild>
            <w:div w:id="18808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6827">
      <w:bodyDiv w:val="1"/>
      <w:marLeft w:val="0"/>
      <w:marRight w:val="0"/>
      <w:marTop w:val="0"/>
      <w:marBottom w:val="0"/>
      <w:divBdr>
        <w:top w:val="none" w:sz="0" w:space="0" w:color="auto"/>
        <w:left w:val="none" w:sz="0" w:space="0" w:color="auto"/>
        <w:bottom w:val="none" w:sz="0" w:space="0" w:color="auto"/>
        <w:right w:val="none" w:sz="0" w:space="0" w:color="auto"/>
      </w:divBdr>
      <w:divsChild>
        <w:div w:id="1074663267">
          <w:marLeft w:val="0"/>
          <w:marRight w:val="0"/>
          <w:marTop w:val="0"/>
          <w:marBottom w:val="0"/>
          <w:divBdr>
            <w:top w:val="none" w:sz="0" w:space="0" w:color="auto"/>
            <w:left w:val="none" w:sz="0" w:space="0" w:color="auto"/>
            <w:bottom w:val="none" w:sz="0" w:space="0" w:color="auto"/>
            <w:right w:val="none" w:sz="0" w:space="0" w:color="auto"/>
          </w:divBdr>
          <w:divsChild>
            <w:div w:id="5157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3053">
      <w:bodyDiv w:val="1"/>
      <w:marLeft w:val="0"/>
      <w:marRight w:val="0"/>
      <w:marTop w:val="0"/>
      <w:marBottom w:val="0"/>
      <w:divBdr>
        <w:top w:val="none" w:sz="0" w:space="0" w:color="auto"/>
        <w:left w:val="none" w:sz="0" w:space="0" w:color="auto"/>
        <w:bottom w:val="none" w:sz="0" w:space="0" w:color="auto"/>
        <w:right w:val="none" w:sz="0" w:space="0" w:color="auto"/>
      </w:divBdr>
    </w:div>
    <w:div w:id="1514612554">
      <w:bodyDiv w:val="1"/>
      <w:marLeft w:val="0"/>
      <w:marRight w:val="0"/>
      <w:marTop w:val="0"/>
      <w:marBottom w:val="0"/>
      <w:divBdr>
        <w:top w:val="none" w:sz="0" w:space="0" w:color="auto"/>
        <w:left w:val="none" w:sz="0" w:space="0" w:color="auto"/>
        <w:bottom w:val="none" w:sz="0" w:space="0" w:color="auto"/>
        <w:right w:val="none" w:sz="0" w:space="0" w:color="auto"/>
      </w:divBdr>
    </w:div>
    <w:div w:id="1590459695">
      <w:bodyDiv w:val="1"/>
      <w:marLeft w:val="0"/>
      <w:marRight w:val="0"/>
      <w:marTop w:val="0"/>
      <w:marBottom w:val="0"/>
      <w:divBdr>
        <w:top w:val="none" w:sz="0" w:space="0" w:color="auto"/>
        <w:left w:val="none" w:sz="0" w:space="0" w:color="auto"/>
        <w:bottom w:val="none" w:sz="0" w:space="0" w:color="auto"/>
        <w:right w:val="none" w:sz="0" w:space="0" w:color="auto"/>
      </w:divBdr>
    </w:div>
    <w:div w:id="1659769529">
      <w:bodyDiv w:val="1"/>
      <w:marLeft w:val="0"/>
      <w:marRight w:val="0"/>
      <w:marTop w:val="0"/>
      <w:marBottom w:val="0"/>
      <w:divBdr>
        <w:top w:val="none" w:sz="0" w:space="0" w:color="auto"/>
        <w:left w:val="none" w:sz="0" w:space="0" w:color="auto"/>
        <w:bottom w:val="none" w:sz="0" w:space="0" w:color="auto"/>
        <w:right w:val="none" w:sz="0" w:space="0" w:color="auto"/>
      </w:divBdr>
      <w:divsChild>
        <w:div w:id="1913810548">
          <w:marLeft w:val="0"/>
          <w:marRight w:val="0"/>
          <w:marTop w:val="0"/>
          <w:marBottom w:val="0"/>
          <w:divBdr>
            <w:top w:val="none" w:sz="0" w:space="0" w:color="auto"/>
            <w:left w:val="none" w:sz="0" w:space="0" w:color="auto"/>
            <w:bottom w:val="none" w:sz="0" w:space="0" w:color="auto"/>
            <w:right w:val="none" w:sz="0" w:space="0" w:color="auto"/>
          </w:divBdr>
          <w:divsChild>
            <w:div w:id="19936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5159">
      <w:bodyDiv w:val="1"/>
      <w:marLeft w:val="0"/>
      <w:marRight w:val="0"/>
      <w:marTop w:val="0"/>
      <w:marBottom w:val="0"/>
      <w:divBdr>
        <w:top w:val="none" w:sz="0" w:space="0" w:color="auto"/>
        <w:left w:val="none" w:sz="0" w:space="0" w:color="auto"/>
        <w:bottom w:val="none" w:sz="0" w:space="0" w:color="auto"/>
        <w:right w:val="none" w:sz="0" w:space="0" w:color="auto"/>
      </w:divBdr>
    </w:div>
    <w:div w:id="1776092963">
      <w:bodyDiv w:val="1"/>
      <w:marLeft w:val="0"/>
      <w:marRight w:val="0"/>
      <w:marTop w:val="0"/>
      <w:marBottom w:val="0"/>
      <w:divBdr>
        <w:top w:val="none" w:sz="0" w:space="0" w:color="auto"/>
        <w:left w:val="none" w:sz="0" w:space="0" w:color="auto"/>
        <w:bottom w:val="none" w:sz="0" w:space="0" w:color="auto"/>
        <w:right w:val="none" w:sz="0" w:space="0" w:color="auto"/>
      </w:divBdr>
      <w:divsChild>
        <w:div w:id="627316460">
          <w:marLeft w:val="0"/>
          <w:marRight w:val="0"/>
          <w:marTop w:val="0"/>
          <w:marBottom w:val="0"/>
          <w:divBdr>
            <w:top w:val="none" w:sz="0" w:space="0" w:color="auto"/>
            <w:left w:val="none" w:sz="0" w:space="0" w:color="auto"/>
            <w:bottom w:val="none" w:sz="0" w:space="0" w:color="auto"/>
            <w:right w:val="none" w:sz="0" w:space="0" w:color="auto"/>
          </w:divBdr>
          <w:divsChild>
            <w:div w:id="10307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50290">
      <w:bodyDiv w:val="1"/>
      <w:marLeft w:val="0"/>
      <w:marRight w:val="0"/>
      <w:marTop w:val="0"/>
      <w:marBottom w:val="0"/>
      <w:divBdr>
        <w:top w:val="none" w:sz="0" w:space="0" w:color="auto"/>
        <w:left w:val="none" w:sz="0" w:space="0" w:color="auto"/>
        <w:bottom w:val="none" w:sz="0" w:space="0" w:color="auto"/>
        <w:right w:val="none" w:sz="0" w:space="0" w:color="auto"/>
      </w:divBdr>
    </w:div>
    <w:div w:id="1974557891">
      <w:bodyDiv w:val="1"/>
      <w:marLeft w:val="0"/>
      <w:marRight w:val="0"/>
      <w:marTop w:val="0"/>
      <w:marBottom w:val="0"/>
      <w:divBdr>
        <w:top w:val="none" w:sz="0" w:space="0" w:color="auto"/>
        <w:left w:val="none" w:sz="0" w:space="0" w:color="auto"/>
        <w:bottom w:val="none" w:sz="0" w:space="0" w:color="auto"/>
        <w:right w:val="none" w:sz="0" w:space="0" w:color="auto"/>
      </w:divBdr>
      <w:divsChild>
        <w:div w:id="1558279216">
          <w:marLeft w:val="0"/>
          <w:marRight w:val="0"/>
          <w:marTop w:val="0"/>
          <w:marBottom w:val="0"/>
          <w:divBdr>
            <w:top w:val="none" w:sz="0" w:space="0" w:color="auto"/>
            <w:left w:val="none" w:sz="0" w:space="0" w:color="auto"/>
            <w:bottom w:val="none" w:sz="0" w:space="0" w:color="auto"/>
            <w:right w:val="none" w:sz="0" w:space="0" w:color="auto"/>
          </w:divBdr>
          <w:divsChild>
            <w:div w:id="16545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5721">
      <w:bodyDiv w:val="1"/>
      <w:marLeft w:val="0"/>
      <w:marRight w:val="0"/>
      <w:marTop w:val="0"/>
      <w:marBottom w:val="0"/>
      <w:divBdr>
        <w:top w:val="none" w:sz="0" w:space="0" w:color="auto"/>
        <w:left w:val="none" w:sz="0" w:space="0" w:color="auto"/>
        <w:bottom w:val="none" w:sz="0" w:space="0" w:color="auto"/>
        <w:right w:val="none" w:sz="0" w:space="0" w:color="auto"/>
      </w:divBdr>
    </w:div>
    <w:div w:id="2012684238">
      <w:bodyDiv w:val="1"/>
      <w:marLeft w:val="0"/>
      <w:marRight w:val="0"/>
      <w:marTop w:val="0"/>
      <w:marBottom w:val="0"/>
      <w:divBdr>
        <w:top w:val="none" w:sz="0" w:space="0" w:color="auto"/>
        <w:left w:val="none" w:sz="0" w:space="0" w:color="auto"/>
        <w:bottom w:val="none" w:sz="0" w:space="0" w:color="auto"/>
        <w:right w:val="none" w:sz="0" w:space="0" w:color="auto"/>
      </w:divBdr>
      <w:divsChild>
        <w:div w:id="178128553">
          <w:marLeft w:val="0"/>
          <w:marRight w:val="0"/>
          <w:marTop w:val="0"/>
          <w:marBottom w:val="0"/>
          <w:divBdr>
            <w:top w:val="none" w:sz="0" w:space="0" w:color="auto"/>
            <w:left w:val="none" w:sz="0" w:space="0" w:color="auto"/>
            <w:bottom w:val="none" w:sz="0" w:space="0" w:color="auto"/>
            <w:right w:val="none" w:sz="0" w:space="0" w:color="auto"/>
          </w:divBdr>
          <w:divsChild>
            <w:div w:id="651637063">
              <w:marLeft w:val="0"/>
              <w:marRight w:val="0"/>
              <w:marTop w:val="0"/>
              <w:marBottom w:val="0"/>
              <w:divBdr>
                <w:top w:val="none" w:sz="0" w:space="0" w:color="auto"/>
                <w:left w:val="none" w:sz="0" w:space="0" w:color="auto"/>
                <w:bottom w:val="none" w:sz="0" w:space="0" w:color="auto"/>
                <w:right w:val="none" w:sz="0" w:space="0" w:color="auto"/>
              </w:divBdr>
            </w:div>
          </w:divsChild>
        </w:div>
        <w:div w:id="1154024481">
          <w:marLeft w:val="0"/>
          <w:marRight w:val="0"/>
          <w:marTop w:val="0"/>
          <w:marBottom w:val="0"/>
          <w:divBdr>
            <w:top w:val="none" w:sz="0" w:space="0" w:color="auto"/>
            <w:left w:val="none" w:sz="0" w:space="0" w:color="auto"/>
            <w:bottom w:val="none" w:sz="0" w:space="0" w:color="auto"/>
            <w:right w:val="none" w:sz="0" w:space="0" w:color="auto"/>
          </w:divBdr>
          <w:divsChild>
            <w:div w:id="8316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Moore</dc:creator>
  <cp:keywords/>
  <dc:description>generated by python-docx</dc:description>
  <cp:lastModifiedBy>Nathan McNamara</cp:lastModifiedBy>
  <cp:revision>6</cp:revision>
  <dcterms:created xsi:type="dcterms:W3CDTF">2025-06-29T21:15:00Z</dcterms:created>
  <dcterms:modified xsi:type="dcterms:W3CDTF">2025-07-02T12:55:00Z</dcterms:modified>
  <cp:category/>
</cp:coreProperties>
</file>