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炸弹刷新点设计</w:t>
      </w:r>
    </w:p>
    <w:p>
      <w:pPr>
        <w:jc w:val="both"/>
        <w:rPr>
          <w:rFonts w:hint="default" w:asciiTheme="majorEastAsia" w:hAnsiTheme="majorEastAsia" w:eastAsiaTheme="majorEastAsia" w:cstheme="majorEastAsia"/>
          <w:b w:val="0"/>
          <w:bCs w:val="0"/>
          <w:sz w:val="24"/>
          <w:szCs w:val="24"/>
        </w:rPr>
      </w:pPr>
    </w:p>
    <w:p>
      <w:pPr>
        <w:jc w:val="center"/>
        <w:rPr>
          <w:rFonts w:hint="eastAsia" w:asciiTheme="majorEastAsia" w:hAnsiTheme="majorEastAsia" w:eastAsiaTheme="majorEastAsia" w:cstheme="majorEastAsia"/>
          <w:b/>
          <w:bCs/>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rPr>
              <w:t>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行为人</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更新时间</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实训项目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马宝勋</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2020-</w:t>
            </w:r>
            <w:r>
              <w:rPr>
                <w:rFonts w:hint="default" w:asciiTheme="majorEastAsia" w:hAnsiTheme="majorEastAsia" w:eastAsiaTheme="majorEastAsia" w:cstheme="majorEastAsia"/>
                <w:b/>
                <w:bCs/>
                <w:sz w:val="24"/>
                <w:szCs w:val="24"/>
                <w:vertAlign w:val="baseline"/>
              </w:rPr>
              <w:t>6</w:t>
            </w:r>
            <w:r>
              <w:rPr>
                <w:rFonts w:hint="default" w:asciiTheme="majorEastAsia" w:hAnsiTheme="majorEastAsia" w:eastAsiaTheme="majorEastAsia" w:cstheme="majorEastAsia"/>
                <w:b/>
                <w:bCs/>
                <w:sz w:val="24"/>
                <w:szCs w:val="24"/>
                <w:vertAlign w:val="baseline"/>
              </w:rPr>
              <w:t>-</w:t>
            </w:r>
            <w:r>
              <w:rPr>
                <w:rFonts w:hint="default" w:asciiTheme="majorEastAsia" w:hAnsiTheme="majorEastAsia" w:eastAsiaTheme="majorEastAsia" w:cstheme="majorEastAsia"/>
                <w:b/>
                <w:bCs/>
                <w:sz w:val="24"/>
                <w:szCs w:val="24"/>
                <w:vertAlign w:val="baseline"/>
              </w:rPr>
              <w:t>11</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创建文档</w:t>
            </w:r>
          </w:p>
        </w:tc>
      </w:tr>
    </w:tbl>
    <w:p>
      <w:pPr>
        <w:jc w:val="center"/>
        <w:rPr>
          <w:rFonts w:hint="eastAsia" w:asciiTheme="majorEastAsia" w:hAnsiTheme="majorEastAsia" w:eastAsiaTheme="majorEastAsia" w:cstheme="majorEastAsia"/>
          <w:b/>
          <w:bCs/>
          <w:sz w:val="24"/>
          <w:szCs w:val="24"/>
        </w:rPr>
      </w:pPr>
    </w:p>
    <w:p>
      <w:pPr>
        <w:jc w:val="left"/>
        <w:rPr>
          <w:rFonts w:hint="default" w:asciiTheme="majorEastAsia" w:hAnsiTheme="majorEastAsia" w:eastAsiaTheme="majorEastAsia" w:cstheme="majorEastAsia"/>
          <w:b w:val="0"/>
          <w:bCs w:val="0"/>
          <w:sz w:val="24"/>
          <w:szCs w:val="24"/>
        </w:rPr>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一．设计目的</w:t>
      </w:r>
    </w:p>
    <w:p>
      <w:pPr>
        <w:widowControl w:val="0"/>
        <w:numPr>
          <w:ilvl w:val="0"/>
          <w:numId w:val="0"/>
        </w:numPr>
        <w:ind w:firstLine="420" w:firstLineChars="0"/>
        <w:jc w:val="left"/>
      </w:pPr>
      <w:r>
        <w:t>在该游戏中，炸弹刷新点的设计是为了防止玩家因过度使用炸弹而导致卡关、避免过渡投放炸弹带来冗余与混乱以及可以通过合理布置点位引导玩家行动和游戏节奏。</w:t>
      </w:r>
    </w:p>
    <w:p>
      <w:pPr>
        <w:widowControl w:val="0"/>
        <w:numPr>
          <w:ilvl w:val="0"/>
          <w:numId w:val="0"/>
        </w:numPr>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二．设计思路</w:t>
      </w:r>
    </w:p>
    <w:p>
      <w:pPr>
        <w:widowControl w:val="0"/>
        <w:numPr>
          <w:ilvl w:val="0"/>
          <w:numId w:val="0"/>
        </w:numPr>
        <w:ind w:firstLine="420" w:firstLineChars="0"/>
        <w:jc w:val="left"/>
      </w:pPr>
      <w:r>
        <w:t>参照现有游戏中成熟的投放点设计，力求刷新点应当响应迅速，投放准确。</w:t>
      </w:r>
    </w:p>
    <w:p>
      <w:pPr>
        <w:widowControl w:val="0"/>
        <w:numPr>
          <w:ilvl w:val="0"/>
          <w:numId w:val="0"/>
        </w:numPr>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三．概述</w:t>
      </w:r>
    </w:p>
    <w:p>
      <w:pPr>
        <w:widowControl w:val="0"/>
        <w:numPr>
          <w:ilvl w:val="0"/>
          <w:numId w:val="0"/>
        </w:numPr>
        <w:ind w:firstLine="420" w:firstLineChars="0"/>
        <w:jc w:val="left"/>
      </w:pPr>
      <w:r>
        <w:t>在关卡中有多个炸弹刷新点，每个刷新点只能刷新一种炸弹，并且当刷新点有炸弹时不会刷新。</w:t>
      </w:r>
    </w:p>
    <w:p>
      <w:pPr>
        <w:widowControl w:val="0"/>
        <w:numPr>
          <w:ilvl w:val="0"/>
          <w:numId w:val="0"/>
        </w:numPr>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四．设计细则</w:t>
      </w:r>
    </w:p>
    <w:p>
      <w:pPr>
        <w:widowControl w:val="0"/>
        <w:numPr>
          <w:numId w:val="0"/>
        </w:numPr>
        <w:ind w:firstLine="420" w:firstLineChars="0"/>
        <w:jc w:val="left"/>
      </w:pPr>
      <w:r>
        <w:t>1.参数设计</w:t>
      </w:r>
    </w:p>
    <w:p>
      <w:pPr>
        <w:widowControl w:val="0"/>
        <w:numPr>
          <w:numId w:val="0"/>
        </w:numPr>
        <w:ind w:firstLine="420" w:firstLineChars="0"/>
        <w:jc w:val="left"/>
      </w:pPr>
      <w:r>
        <w:t>传送门装置接收三个参数：</w:t>
      </w:r>
    </w:p>
    <w:p>
      <w:pPr>
        <w:widowControl w:val="0"/>
        <w:numPr>
          <w:ilvl w:val="0"/>
          <w:numId w:val="1"/>
        </w:numPr>
        <w:ind w:firstLine="420" w:firstLineChars="0"/>
        <w:jc w:val="left"/>
      </w:pPr>
      <w:r>
        <w:t>传送门位置坐标</w:t>
      </w:r>
    </w:p>
    <w:p>
      <w:pPr>
        <w:widowControl w:val="0"/>
        <w:numPr>
          <w:ilvl w:val="0"/>
          <w:numId w:val="1"/>
        </w:numPr>
        <w:ind w:firstLine="420" w:firstLineChars="0"/>
        <w:jc w:val="left"/>
      </w:pPr>
      <w:r>
        <w:t>在传送门上刷新的炸弹种类</w:t>
      </w:r>
    </w:p>
    <w:p>
      <w:pPr>
        <w:widowControl w:val="0"/>
        <w:numPr>
          <w:ilvl w:val="0"/>
          <w:numId w:val="1"/>
        </w:numPr>
        <w:ind w:firstLine="420" w:firstLineChars="0"/>
        <w:jc w:val="left"/>
      </w:pPr>
      <w:r>
        <w:t>炸弹刷新时间t（即当玩家从该传送门上拾取炸弹后，经过t秒后，该处会重新刷新出炸弹）</w:t>
      </w:r>
    </w:p>
    <w:p>
      <w:pPr>
        <w:widowControl w:val="0"/>
        <w:numPr>
          <w:numId w:val="0"/>
        </w:numPr>
        <w:jc w:val="left"/>
      </w:pPr>
    </w:p>
    <w:p>
      <w:pPr>
        <w:widowControl w:val="0"/>
        <w:numPr>
          <w:ilvl w:val="0"/>
          <w:numId w:val="2"/>
        </w:numPr>
        <w:ind w:firstLine="420" w:firstLineChars="0"/>
        <w:jc w:val="left"/>
      </w:pPr>
      <w:r>
        <w:t>流程图解释</w:t>
      </w:r>
    </w:p>
    <w:p>
      <w:pPr>
        <w:widowControl w:val="0"/>
        <w:numPr>
          <w:numId w:val="0"/>
        </w:numPr>
        <w:jc w:val="center"/>
      </w:pPr>
      <w:r>
        <w:drawing>
          <wp:inline distT="0" distB="0" distL="114300" distR="114300">
            <wp:extent cx="4349750" cy="6215380"/>
            <wp:effectExtent l="0" t="0" r="19050" b="7620"/>
            <wp:docPr id="2" name="图片 2" descr="Xnip2020-06-11_22-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nip2020-06-11_22-16-32"/>
                    <pic:cNvPicPr>
                      <a:picLocks noChangeAspect="1"/>
                    </pic:cNvPicPr>
                  </pic:nvPicPr>
                  <pic:blipFill>
                    <a:blip r:embed="rId4"/>
                    <a:stretch>
                      <a:fillRect/>
                    </a:stretch>
                  </pic:blipFill>
                  <pic:spPr>
                    <a:xfrm>
                      <a:off x="0" y="0"/>
                      <a:ext cx="4349750" cy="6215380"/>
                    </a:xfrm>
                    <a:prstGeom prst="rect">
                      <a:avLst/>
                    </a:prstGeom>
                  </pic:spPr>
                </pic:pic>
              </a:graphicData>
            </a:graphic>
          </wp:inline>
        </w:drawing>
      </w:r>
      <w:bookmarkStart w:id="0" w:name="_GoBack"/>
      <w:bookmarkEnd w:id="0"/>
    </w:p>
    <w:p>
      <w:pPr>
        <w:widowControl w:val="0"/>
        <w:numPr>
          <w:numId w:val="0"/>
        </w:numPr>
        <w:ind w:firstLine="420" w:firstLineChars="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兰亭黑-简">
    <w:panose1 w:val="02000000000000000000"/>
    <w:charset w:val="86"/>
    <w:family w:val="auto"/>
    <w:pitch w:val="default"/>
    <w:sig w:usb0="00000001" w:usb1="08000000" w:usb2="00000000" w:usb3="00000000" w:csb0="00040000" w:csb1="00000000"/>
  </w:font>
  <w:font w:name="隶变-繁">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23EB9"/>
    <w:multiLevelType w:val="singleLevel"/>
    <w:tmpl w:val="5EE23EB9"/>
    <w:lvl w:ilvl="0" w:tentative="0">
      <w:start w:val="1"/>
      <w:numFmt w:val="decimal"/>
      <w:suff w:val="nothing"/>
      <w:lvlText w:val="（%1）"/>
      <w:lvlJc w:val="left"/>
    </w:lvl>
  </w:abstractNum>
  <w:abstractNum w:abstractNumId="1">
    <w:nsid w:val="5EE24093"/>
    <w:multiLevelType w:val="singleLevel"/>
    <w:tmpl w:val="5EE2409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C6EE"/>
    <w:rsid w:val="7BFFC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2020-06-11T20:22:00Z</dcterms:created>
  <dc:creator>mabaoxun</dc:creator>
  <cp:lastModifiedBy>mabaoxun</cp:lastModifiedBy>
  <dcterms:modified xsi:type="dcterms:W3CDTF">2020-06-11T22:18:01Z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