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B3A5C"/>
          <w:sz w:val="32"/>
          <w:szCs w:val="32"/>
        </w:rPr>
        <w:t xml:space="preserve">PRODUCT &amp; TECHNICAL STRATEGY MEMO</w:t>
      </w:r>
    </w:p>
    <w:p>
      <w:pPr>
        <w:spacing w:after="40"/>
      </w:pPr>
      <w:r>
        <w:rPr>
          <w:rFonts w:ascii="Arial" w:cs="Arial" w:eastAsia="Arial" w:hAnsi="Arial"/>
          <w:i/>
          <w:iCs/>
          <w:color w:val="2E5984"/>
          <w:sz w:val="26"/>
          <w:szCs w:val="26"/>
        </w:rPr>
        <w:t xml:space="preserve">Closing the Peer Comparison &amp; 990 Intelligence Gap</w:t>
      </w:r>
    </w:p>
    <w:p>
      <w:pPr>
        <w:pBdr>
          <w:bottom w:val="single" w:color="1B3A5C" w:sz="6" w:space="1"/>
        </w:pBdr>
        <w:spacing w:after="200"/>
      </w:pPr>
      <w:r>
        <w:rPr>
          <w:rFonts w:ascii="Arial" w:cs="Arial" w:eastAsia="Arial" w:hAnsi="Arial"/>
          <w:color w:val="666666"/>
          <w:sz w:val="20"/>
          <w:szCs w:val="20"/>
        </w:rPr>
        <w:t xml:space="preserve">FunderMatch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 for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FunderMatch Leadership &amp; Engineering</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March 12,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benchmark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Instrumentl (Standard &amp; Professional plans)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Scope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IRS 990 data pipeline, peer matching, reverse search, enriched funder profiles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needed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prioritization for next 3 quarters</w:t>
            </w:r>
          </w:p>
        </w:tc>
      </w:tr>
    </w:tbl>
    <w:p>
      <w:pPr>
        <w:spacing w:after="200"/>
      </w:pPr>
    </w:p>
    <w:p>
      <w:pPr>
        <w:pStyle w:val="Heading1"/>
        <w:spacing w:before="360" w:after="200"/>
      </w:pPr>
      <w:r>
        <w:rPr>
          <w:rFonts w:ascii="Arial" w:cs="Arial" w:eastAsia="Arial" w:hAnsi="Arial"/>
          <w:b/>
          <w:bCs/>
          <w:color w:val="1B3A5C"/>
          <w:sz w:val="28"/>
          <w:szCs w:val="28"/>
        </w:rPr>
        <w:t xml:space="preserve">1. Executive Summary</w:t>
      </w:r>
    </w:p>
    <w:p>
      <w:pPr>
        <w:spacing w:after="160"/>
      </w:pPr>
      <w:r>
        <w:rPr>
          <w:rFonts w:ascii="Arial" w:cs="Arial" w:eastAsia="Arial" w:hAnsi="Arial"/>
          <w:sz w:val="21"/>
          <w:szCs w:val="21"/>
        </w:rPr>
        <w:t xml:space="preserve">Instrumentl’s deepest competitive moat is not its grant database—it is the structured intelligence layer it builds on top of IRS 990 filings. By parsing over 400,000 funder 990 returns, Instrumentl delivers four capabilities that FunderMatch currently lacks: peer organization identification, reverse-search recipient profiles, multi-year giving trend analysis, and new-vs-repeat grantee scoring. Together, these features let a development officer move from “who might fund us?” to “who funds organizations exactly like us, and are they adding new grantees?” in under two minutes.</w:t>
      </w:r>
    </w:p>
    <w:p>
      <w:pPr>
        <w:spacing w:after="160"/>
      </w:pPr>
      <w:r>
        <w:rPr>
          <w:rFonts w:ascii="Arial" w:cs="Arial" w:eastAsia="Arial" w:hAnsi="Arial"/>
          <w:sz w:val="21"/>
          <w:szCs w:val="21"/>
        </w:rPr>
        <w:t xml:space="preserve">This memo defines the gap, proposes a concrete technical architecture for closing it, and lays out a phased roadmap that can deliver an MVP within one quarter. The goal is not parity with Instrumentl—it is to leapfrog them by combining 990 intelligence with FunderMatch’s existing AI-powered mission matching, creating a differentiated product that no competitor offers today.</w:t>
      </w:r>
    </w:p>
    <w:p>
      <w:r>
        <w:br w:type="page"/>
      </w:r>
    </w:p>
    <w:p>
      <w:pPr>
        <w:pStyle w:val="Heading1"/>
        <w:spacing w:before="360" w:after="200"/>
      </w:pPr>
      <w:r>
        <w:rPr>
          <w:rFonts w:ascii="Arial" w:cs="Arial" w:eastAsia="Arial" w:hAnsi="Arial"/>
          <w:b/>
          <w:bCs/>
          <w:color w:val="1B3A5C"/>
          <w:sz w:val="28"/>
          <w:szCs w:val="28"/>
        </w:rPr>
        <w:t xml:space="preserve">2. Gap Definition</w:t>
      </w:r>
    </w:p>
    <w:p>
      <w:pPr>
        <w:pStyle w:val="Heading2"/>
        <w:spacing w:before="280" w:after="160"/>
      </w:pPr>
      <w:r>
        <w:rPr>
          <w:rFonts w:ascii="Arial" w:cs="Arial" w:eastAsia="Arial" w:hAnsi="Arial"/>
          <w:b/>
          <w:bCs/>
          <w:color w:val="2E5984"/>
          <w:sz w:val="24"/>
          <w:szCs w:val="24"/>
        </w:rPr>
        <w:t xml:space="preserve">2.1 What Instrumentl Offers Today</w:t>
      </w:r>
    </w:p>
    <w:p>
      <w:pPr>
        <w:spacing w:after="160"/>
      </w:pPr>
      <w:r>
        <w:rPr>
          <w:rFonts w:ascii="Arial" w:cs="Arial" w:eastAsia="Arial" w:hAnsi="Arial"/>
          <w:sz w:val="21"/>
          <w:szCs w:val="21"/>
        </w:rPr>
        <w:t xml:space="preserve">Instrumentl’s 990 intelligence layer spans four tightly integrated capability areas. Each is surfaced as both a standalone feature and as contextual data within their funder matching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Capability Area</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Instrumentl Feature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FunderMatch Today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identification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Prospecting: find orgs by NTEE code, mission, geography, budget; track peer lists; filter funders by peer overlap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Suggest-peers edge function returns AI-generated peer names; no structured peer database or peer tracking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Recipient profiles (reverse search)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Toggle any nonprofit to see all past awards received, funder list, grant amounts, grant purposes, location data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recipient profiles; funder detail page shows similar_past_grantees from Claude inference, not structured 990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Funder 990 insights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Multi-year charts: giving by category, new vs. repeat grantees, geographic distribution, grant size distribution, total giving trends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total_giving and grant_range fields; no historical trends, no category breakdowns, no new/repeat analysis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Funder-recipient network</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Cross-linked: click a funder’s grantee to see that grantee’s other funders; navigate the full network</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 cross-linking; funder profiles are isolated from one another</w:t>
            </w:r>
          </w:p>
        </w:tc>
      </w:tr>
    </w:tbl>
    <w:p>
      <w:pPr>
        <w:spacing w:after="160"/>
      </w:pPr>
    </w:p>
    <w:p>
      <w:pPr>
        <w:pStyle w:val="Heading2"/>
        <w:spacing w:before="280" w:after="160"/>
      </w:pPr>
      <w:r>
        <w:rPr>
          <w:rFonts w:ascii="Arial" w:cs="Arial" w:eastAsia="Arial" w:hAnsi="Arial"/>
          <w:b/>
          <w:bCs/>
          <w:color w:val="2E5984"/>
          <w:sz w:val="24"/>
          <w:szCs w:val="24"/>
        </w:rPr>
        <w:t xml:space="preserve">2.2 Core Capability Areas to Build</w:t>
      </w:r>
    </w:p>
    <w:p>
      <w:pPr>
        <w:spacing w:after="160"/>
      </w:pPr>
      <w:r>
        <w:rPr>
          <w:rFonts w:ascii="Arial" w:cs="Arial" w:eastAsia="Arial" w:hAnsi="Arial"/>
          <w:sz w:val="21"/>
          <w:szCs w:val="21"/>
        </w:rPr>
        <w:t xml:space="preserve">We decompose the gap into five buildable capability areas, ordered by dependency:</w:t>
      </w:r>
    </w:p>
    <w:p>
      <w:pPr>
        <w:pStyle w:val="ListParagraph"/>
        <w:numPr>
          <w:ilvl w:val="0"/>
          <w:numId w:val="2"/>
        </w:numPr>
        <w:spacing w:after="80"/>
      </w:pPr>
      <w:r>
        <w:rPr>
          <w:rFonts w:ascii="Arial" w:cs="Arial" w:eastAsia="Arial" w:hAnsi="Arial"/>
          <w:b/>
          <w:bCs/>
          <w:sz w:val="21"/>
          <w:szCs w:val="21"/>
        </w:rPr>
        <w:t xml:space="preserve">C1 – 990 Data Pipeline: </w:t>
      </w:r>
      <w:r>
        <w:rPr>
          <w:rFonts w:ascii="Arial" w:cs="Arial" w:eastAsia="Arial" w:hAnsi="Arial"/>
          <w:sz w:val="21"/>
          <w:szCs w:val="21"/>
        </w:rPr>
        <w:t xml:space="preserve">Ingest, parse, normalize, and continuously update IRS 990 data into a queryable store.</w:t>
      </w:r>
    </w:p>
    <w:p>
      <w:pPr>
        <w:pStyle w:val="ListParagraph"/>
        <w:numPr>
          <w:ilvl w:val="0"/>
          <w:numId w:val="2"/>
        </w:numPr>
        <w:spacing w:after="80"/>
      </w:pPr>
      <w:r>
        <w:rPr>
          <w:rFonts w:ascii="Arial" w:cs="Arial" w:eastAsia="Arial" w:hAnsi="Arial"/>
          <w:b/>
          <w:bCs/>
          <w:sz w:val="21"/>
          <w:szCs w:val="21"/>
        </w:rPr>
        <w:t xml:space="preserve">C2 – Peer Organization Matching: </w:t>
      </w:r>
      <w:r>
        <w:rPr>
          <w:rFonts w:ascii="Arial" w:cs="Arial" w:eastAsia="Arial" w:hAnsi="Arial"/>
          <w:sz w:val="21"/>
          <w:szCs w:val="21"/>
        </w:rPr>
        <w:t xml:space="preserve">Algorithmically identify peer nonprofits using NTEE codes, mission embeddings, geography, revenue, and funder overlap.</w:t>
      </w:r>
    </w:p>
    <w:p>
      <w:pPr>
        <w:pStyle w:val="ListParagraph"/>
        <w:numPr>
          <w:ilvl w:val="0"/>
          <w:numId w:val="2"/>
        </w:numPr>
        <w:spacing w:after="80"/>
      </w:pPr>
      <w:r>
        <w:rPr>
          <w:rFonts w:ascii="Arial" w:cs="Arial" w:eastAsia="Arial" w:hAnsi="Arial"/>
          <w:b/>
          <w:bCs/>
          <w:sz w:val="21"/>
          <w:szCs w:val="21"/>
        </w:rPr>
        <w:t xml:space="preserve">C3 – Reverse Search &amp; Recipient Profiles: </w:t>
      </w:r>
      <w:r>
        <w:rPr>
          <w:rFonts w:ascii="Arial" w:cs="Arial" w:eastAsia="Arial" w:hAnsi="Arial"/>
          <w:sz w:val="21"/>
          <w:szCs w:val="21"/>
        </w:rPr>
        <w:t xml:space="preserve">Let users search outward from any nonprofit to discover its funders, comparable orgs, and giving patterns.</w:t>
      </w:r>
    </w:p>
    <w:p>
      <w:pPr>
        <w:pStyle w:val="ListParagraph"/>
        <w:numPr>
          <w:ilvl w:val="0"/>
          <w:numId w:val="2"/>
        </w:numPr>
        <w:spacing w:after="80"/>
      </w:pPr>
      <w:r>
        <w:rPr>
          <w:rFonts w:ascii="Arial" w:cs="Arial" w:eastAsia="Arial" w:hAnsi="Arial"/>
          <w:b/>
          <w:bCs/>
          <w:sz w:val="21"/>
          <w:szCs w:val="21"/>
        </w:rPr>
        <w:t xml:space="preserve">C4 – Enriched Funder Profiles: </w:t>
      </w:r>
      <w:r>
        <w:rPr>
          <w:rFonts w:ascii="Arial" w:cs="Arial" w:eastAsia="Arial" w:hAnsi="Arial"/>
          <w:sz w:val="21"/>
          <w:szCs w:val="21"/>
        </w:rPr>
        <w:t xml:space="preserve">Layer 990-derived grant history, trends, and recipient analysis onto existing funder detail pages.</w:t>
      </w:r>
    </w:p>
    <w:p>
      <w:pPr>
        <w:pStyle w:val="ListParagraph"/>
        <w:numPr>
          <w:ilvl w:val="0"/>
          <w:numId w:val="2"/>
        </w:numPr>
        <w:spacing w:after="80"/>
      </w:pPr>
      <w:r>
        <w:rPr>
          <w:rFonts w:ascii="Arial" w:cs="Arial" w:eastAsia="Arial" w:hAnsi="Arial"/>
          <w:b/>
          <w:bCs/>
          <w:sz w:val="21"/>
          <w:szCs w:val="21"/>
        </w:rPr>
        <w:t xml:space="preserve">C5 – Network Navigation: </w:t>
      </w:r>
      <w:r>
        <w:rPr>
          <w:rFonts w:ascii="Arial" w:cs="Arial" w:eastAsia="Arial" w:hAnsi="Arial"/>
          <w:sz w:val="21"/>
          <w:szCs w:val="21"/>
        </w:rPr>
        <w:t xml:space="preserve">Cross-link funders and recipients so users can traverse the full funding graph.</w:t>
      </w:r>
    </w:p>
    <w:p>
      <w:r>
        <w:br w:type="page"/>
      </w:r>
    </w:p>
    <w:p>
      <w:pPr>
        <w:pStyle w:val="Heading1"/>
        <w:spacing w:before="360" w:after="200"/>
      </w:pPr>
      <w:r>
        <w:rPr>
          <w:rFonts w:ascii="Arial" w:cs="Arial" w:eastAsia="Arial" w:hAnsi="Arial"/>
          <w:b/>
          <w:bCs/>
          <w:color w:val="1B3A5C"/>
          <w:sz w:val="28"/>
          <w:szCs w:val="28"/>
        </w:rPr>
        <w:t xml:space="preserve">3. IRS 990 Data Pipeline</w:t>
      </w:r>
    </w:p>
    <w:p>
      <w:pPr>
        <w:pStyle w:val="Heading2"/>
        <w:spacing w:before="280" w:after="160"/>
      </w:pPr>
      <w:r>
        <w:rPr>
          <w:rFonts w:ascii="Arial" w:cs="Arial" w:eastAsia="Arial" w:hAnsi="Arial"/>
          <w:b/>
          <w:bCs/>
          <w:color w:val="2E5984"/>
          <w:sz w:val="24"/>
          <w:szCs w:val="24"/>
        </w:rPr>
        <w:t xml:space="preserve">3.1 Data Sources</w:t>
      </w:r>
    </w:p>
    <w:p>
      <w:pPr>
        <w:spacing w:after="160"/>
      </w:pPr>
      <w:r>
        <w:rPr>
          <w:rFonts w:ascii="Arial" w:cs="Arial" w:eastAsia="Arial" w:hAnsi="Arial"/>
          <w:sz w:val="21"/>
          <w:szCs w:val="21"/>
        </w:rPr>
        <w:t xml:space="preserve">Three complementary sources provide the coverage and freshness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Cadence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 TEOS Bulk Downloads (irs.gov)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ZIPs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2011–present; all e-filed 990, 990-EZ, 990-PF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(ZIP per month)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source. Replaced AWS s3://irs-form-990/ which was deprecated Dec 2021.</w:t>
            </w:r>
          </w:p>
        </w:tc>
      </w:tr>
      <w:tr>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ProPublica Nonprofit Explorer API</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 REST</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1.8M+ orgs; summary + full filings</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Near-real-time as IRS releases</w:t>
            </w:r>
          </w:p>
        </w:tc>
        <w:tc>
          <w:tcPr>
            <w:tcW w:type="dxa" w:w="1872"/>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Best for entity metadata, quick lookups, gap-filling. Free, no API key required.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990 Data Lake (GivingTuesday)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Parquet/CSV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2023–present processed filings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Pre-parsed tabular format; useful for bootstrapping and validation.</w:t>
            </w:r>
          </w:p>
        </w:tc>
      </w:tr>
    </w:tbl>
    <w:p>
      <w:pPr>
        <w:spacing w:after="160"/>
      </w:pPr>
    </w:p>
    <w:p>
      <w:pPr>
        <w:pStyle w:val="Heading2"/>
        <w:spacing w:before="280" w:after="160"/>
      </w:pPr>
      <w:r>
        <w:rPr>
          <w:rFonts w:ascii="Arial" w:cs="Arial" w:eastAsia="Arial" w:hAnsi="Arial"/>
          <w:b/>
          <w:bCs/>
          <w:color w:val="2E5984"/>
          <w:sz w:val="24"/>
          <w:szCs w:val="24"/>
        </w:rPr>
        <w:t xml:space="preserve">3.2 Pipeline Architecture</w:t>
      </w:r>
    </w:p>
    <w:p>
      <w:pPr>
        <w:spacing w:after="160"/>
      </w:pPr>
      <w:r>
        <w:rPr>
          <w:rFonts w:ascii="Arial" w:cs="Arial" w:eastAsia="Arial" w:hAnsi="Arial"/>
          <w:sz w:val="21"/>
          <w:szCs w:val="21"/>
        </w:rPr>
        <w:t xml:space="preserve">The pipeline operates in four stages: Acquire, Parse, Resolve, Store.</w:t>
      </w:r>
    </w:p>
    <w:p>
      <w:pPr>
        <w:pStyle w:val="Heading3"/>
        <w:spacing w:before="200" w:after="120"/>
      </w:pPr>
      <w:r>
        <w:rPr>
          <w:rFonts w:ascii="Arial" w:cs="Arial" w:eastAsia="Arial" w:hAnsi="Arial"/>
          <w:b/>
          <w:bCs/>
          <w:color w:val="3D7AB5"/>
          <w:sz w:val="22"/>
          <w:szCs w:val="22"/>
        </w:rPr>
        <w:t xml:space="preserve">Stage 1: Acquire</w:t>
      </w:r>
    </w:p>
    <w:p>
      <w:pPr>
        <w:pStyle w:val="ListParagraph"/>
        <w:numPr>
          <w:ilvl w:val="0"/>
          <w:numId w:val="2"/>
        </w:numPr>
        <w:spacing w:after="80"/>
      </w:pPr>
      <w:r>
        <w:rPr>
          <w:rFonts w:ascii="Arial" w:cs="Arial" w:eastAsia="Arial" w:hAnsi="Arial"/>
          <w:sz w:val="21"/>
          <w:szCs w:val="21"/>
        </w:rPr>
        <w:t xml:space="preserve">Scheduled job (daily cron) checks IRS TEOS download page for new monthly ZIPs.</w:t>
      </w:r>
    </w:p>
    <w:p>
      <w:pPr>
        <w:pStyle w:val="ListParagraph"/>
        <w:numPr>
          <w:ilvl w:val="0"/>
          <w:numId w:val="2"/>
        </w:numPr>
        <w:spacing w:after="80"/>
      </w:pPr>
      <w:r>
        <w:rPr>
          <w:rFonts w:ascii="Arial" w:cs="Arial" w:eastAsia="Arial" w:hAnsi="Arial"/>
          <w:sz w:val="21"/>
          <w:szCs w:val="21"/>
        </w:rPr>
        <w:t xml:space="preserve">Downloads new ZIPs to a staging bucket (Supabase Storage or S3-compatible).</w:t>
      </w:r>
    </w:p>
    <w:p>
      <w:pPr>
        <w:pStyle w:val="ListParagraph"/>
        <w:numPr>
          <w:ilvl w:val="0"/>
          <w:numId w:val="2"/>
        </w:numPr>
        <w:spacing w:after="80"/>
      </w:pPr>
      <w:r>
        <w:rPr>
          <w:rFonts w:ascii="Arial" w:cs="Arial" w:eastAsia="Arial" w:hAnsi="Arial"/>
          <w:sz w:val="21"/>
          <w:szCs w:val="21"/>
        </w:rPr>
        <w:t xml:space="preserve">ProPublica API is called on-demand for entity metadata enrichment and gap-filling.</w:t>
      </w:r>
    </w:p>
    <w:p>
      <w:pPr>
        <w:pStyle w:val="ListParagraph"/>
        <w:numPr>
          <w:ilvl w:val="0"/>
          <w:numId w:val="2"/>
        </w:numPr>
        <w:spacing w:after="80"/>
      </w:pPr>
      <w:r>
        <w:rPr>
          <w:rFonts w:ascii="Arial" w:cs="Arial" w:eastAsia="Arial" w:hAnsi="Arial"/>
          <w:sz w:val="21"/>
          <w:szCs w:val="21"/>
        </w:rPr>
        <w:t xml:space="preserve">Target latency: new filings available within 48 hours of IRS release.</w:t>
      </w:r>
    </w:p>
    <w:p>
      <w:pPr>
        <w:pStyle w:val="Heading3"/>
        <w:spacing w:before="200" w:after="120"/>
      </w:pPr>
      <w:r>
        <w:rPr>
          <w:rFonts w:ascii="Arial" w:cs="Arial" w:eastAsia="Arial" w:hAnsi="Arial"/>
          <w:b/>
          <w:bCs/>
          <w:color w:val="3D7AB5"/>
          <w:sz w:val="22"/>
          <w:szCs w:val="22"/>
        </w:rPr>
        <w:t xml:space="preserve">Stage 2: Parse</w:t>
      </w:r>
    </w:p>
    <w:p>
      <w:pPr>
        <w:spacing w:after="160"/>
      </w:pPr>
      <w:r>
        <w:rPr>
          <w:rFonts w:ascii="Arial" w:cs="Arial" w:eastAsia="Arial" w:hAnsi="Arial"/>
          <w:sz w:val="21"/>
          <w:szCs w:val="21"/>
        </w:rPr>
        <w:t xml:space="preserve">990 XML files use IRS e-file schemas that vary by tax year. We parse three return types:</w:t>
      </w:r>
    </w:p>
    <w:p>
      <w:pPr>
        <w:pStyle w:val="ListParagraph"/>
        <w:numPr>
          <w:ilvl w:val="0"/>
          <w:numId w:val="2"/>
        </w:numPr>
        <w:spacing w:after="80"/>
      </w:pPr>
      <w:r>
        <w:rPr>
          <w:rFonts w:ascii="Arial" w:cs="Arial" w:eastAsia="Arial" w:hAnsi="Arial"/>
          <w:b/>
          <w:bCs/>
          <w:sz w:val="21"/>
          <w:szCs w:val="21"/>
        </w:rPr>
        <w:t xml:space="preserve">990 (full): </w:t>
      </w:r>
      <w:r>
        <w:rPr>
          <w:rFonts w:ascii="Arial" w:cs="Arial" w:eastAsia="Arial" w:hAnsi="Arial"/>
          <w:sz w:val="21"/>
          <w:szCs w:val="21"/>
        </w:rPr>
        <w:t xml:space="preserve">Part XV Schedule I contains grant recipient data—EIN, name, address, amount, purpose. Also: total revenue, total expenses, total assets, total grants paid.</w:t>
      </w:r>
    </w:p>
    <w:p>
      <w:pPr>
        <w:pStyle w:val="ListParagraph"/>
        <w:numPr>
          <w:ilvl w:val="0"/>
          <w:numId w:val="2"/>
        </w:numPr>
        <w:spacing w:after="80"/>
      </w:pPr>
      <w:r>
        <w:rPr>
          <w:rFonts w:ascii="Arial" w:cs="Arial" w:eastAsia="Arial" w:hAnsi="Arial"/>
          <w:b/>
          <w:bCs/>
          <w:sz w:val="21"/>
          <w:szCs w:val="21"/>
        </w:rPr>
        <w:t xml:space="preserve">990-PF (private foundations): </w:t>
      </w:r>
      <w:r>
        <w:rPr>
          <w:rFonts w:ascii="Arial" w:cs="Arial" w:eastAsia="Arial" w:hAnsi="Arial"/>
          <w:sz w:val="21"/>
          <w:szCs w:val="21"/>
        </w:rPr>
        <w:t xml:space="preserve">Part XV line items list every grant individually with recipient EIN, name, amount, purpose, and relationship. This is the richest data source.</w:t>
      </w:r>
    </w:p>
    <w:p>
      <w:pPr>
        <w:pStyle w:val="ListParagraph"/>
        <w:numPr>
          <w:ilvl w:val="0"/>
          <w:numId w:val="2"/>
        </w:numPr>
        <w:spacing w:after="80"/>
      </w:pPr>
      <w:r>
        <w:rPr>
          <w:rFonts w:ascii="Arial" w:cs="Arial" w:eastAsia="Arial" w:hAnsi="Arial"/>
          <w:b/>
          <w:bCs/>
          <w:sz w:val="21"/>
          <w:szCs w:val="21"/>
        </w:rPr>
        <w:t xml:space="preserve">990-EZ (small orgs): </w:t>
      </w:r>
      <w:r>
        <w:rPr>
          <w:rFonts w:ascii="Arial" w:cs="Arial" w:eastAsia="Arial" w:hAnsi="Arial"/>
          <w:sz w:val="21"/>
          <w:szCs w:val="21"/>
        </w:rPr>
        <w:t xml:space="preserve">Limited grant data; primarily useful for recipient-side revenue and org classification.</w:t>
      </w:r>
    </w:p>
    <w:p>
      <w:pPr>
        <w:spacing w:after="160"/>
      </w:pPr>
      <w:r>
        <w:rPr>
          <w:rFonts w:ascii="Arial" w:cs="Arial" w:eastAsia="Arial" w:hAnsi="Arial"/>
          <w:sz w:val="21"/>
          <w:szCs w:val="21"/>
        </w:rPr>
        <w:t xml:space="preserve">Parser implementation: Node.js streaming XML parser (sax-js or fast-xml-parser) with schema-version-aware field mapping. Each tax year’s schema version maps to a normalization config that extracts fields into a canonical grant record.</w:t>
      </w:r>
    </w:p>
    <w:p>
      <w:pPr>
        <w:pStyle w:val="Heading3"/>
        <w:spacing w:before="200" w:after="120"/>
      </w:pPr>
      <w:r>
        <w:rPr>
          <w:rFonts w:ascii="Arial" w:cs="Arial" w:eastAsia="Arial" w:hAnsi="Arial"/>
          <w:b/>
          <w:bCs/>
          <w:color w:val="3D7AB5"/>
          <w:sz w:val="22"/>
          <w:szCs w:val="22"/>
        </w:rPr>
        <w:t xml:space="preserve">Stage 3: Entity Resolution</w:t>
      </w:r>
    </w:p>
    <w:p>
      <w:pPr>
        <w:spacing w:after="160"/>
      </w:pPr>
      <w:r>
        <w:rPr>
          <w:rFonts w:ascii="Arial" w:cs="Arial" w:eastAsia="Arial" w:hAnsi="Arial"/>
          <w:sz w:val="21"/>
          <w:szCs w:val="21"/>
        </w:rPr>
        <w:t xml:space="preserve">The same organization may appear under different names, addresses, or even EINs across filings. Entity resolution uses a tiered matching strategy:</w:t>
      </w:r>
    </w:p>
    <w:p>
      <w:pPr>
        <w:pStyle w:val="ListParagraph"/>
        <w:numPr>
          <w:ilvl w:val="0"/>
          <w:numId w:val="2"/>
        </w:numPr>
        <w:spacing w:after="80"/>
      </w:pPr>
      <w:r>
        <w:rPr>
          <w:rFonts w:ascii="Arial" w:cs="Arial" w:eastAsia="Arial" w:hAnsi="Arial"/>
          <w:b/>
          <w:bCs/>
          <w:sz w:val="21"/>
          <w:szCs w:val="21"/>
        </w:rPr>
        <w:t xml:space="preserve">Tier 1 – EIN exact match: </w:t>
      </w:r>
      <w:r>
        <w:rPr>
          <w:rFonts w:ascii="Arial" w:cs="Arial" w:eastAsia="Arial" w:hAnsi="Arial"/>
          <w:sz w:val="21"/>
          <w:szCs w:val="21"/>
        </w:rPr>
        <w:t xml:space="preserve">Highest confidence. EIN is the IRS’s unique identifier.</w:t>
      </w:r>
    </w:p>
    <w:p>
      <w:pPr>
        <w:pStyle w:val="ListParagraph"/>
        <w:numPr>
          <w:ilvl w:val="0"/>
          <w:numId w:val="2"/>
        </w:numPr>
        <w:spacing w:after="80"/>
      </w:pPr>
      <w:r>
        <w:rPr>
          <w:rFonts w:ascii="Arial" w:cs="Arial" w:eastAsia="Arial" w:hAnsi="Arial"/>
          <w:b/>
          <w:bCs/>
          <w:sz w:val="21"/>
          <w:szCs w:val="21"/>
        </w:rPr>
        <w:t xml:space="preserve">Tier 2 – Name + State fuzzy match: </w:t>
      </w:r>
      <w:r>
        <w:rPr>
          <w:rFonts w:ascii="Arial" w:cs="Arial" w:eastAsia="Arial" w:hAnsi="Arial"/>
          <w:sz w:val="21"/>
          <w:szCs w:val="21"/>
        </w:rPr>
        <w:t xml:space="preserve">Levenshtein distance &lt; 3 on normalized name (stripped of Inc, LLC, Foundation, The) within same state. Confidence: 0.85.</w:t>
      </w:r>
    </w:p>
    <w:p>
      <w:pPr>
        <w:pStyle w:val="ListParagraph"/>
        <w:numPr>
          <w:ilvl w:val="0"/>
          <w:numId w:val="2"/>
        </w:numPr>
        <w:spacing w:after="80"/>
      </w:pPr>
      <w:r>
        <w:rPr>
          <w:rFonts w:ascii="Arial" w:cs="Arial" w:eastAsia="Arial" w:hAnsi="Arial"/>
          <w:b/>
          <w:bCs/>
          <w:sz w:val="21"/>
          <w:szCs w:val="21"/>
        </w:rPr>
        <w:t xml:space="preserve">Tier 3 – Name + ZIP: </w:t>
      </w:r>
      <w:r>
        <w:rPr>
          <w:rFonts w:ascii="Arial" w:cs="Arial" w:eastAsia="Arial" w:hAnsi="Arial"/>
          <w:sz w:val="21"/>
          <w:szCs w:val="21"/>
        </w:rPr>
        <w:t xml:space="preserve">Fuzzy name match within same ZIP code. Confidence: 0.75.</w:t>
      </w:r>
    </w:p>
    <w:p>
      <w:pPr>
        <w:pStyle w:val="ListParagraph"/>
        <w:numPr>
          <w:ilvl w:val="0"/>
          <w:numId w:val="2"/>
        </w:numPr>
        <w:spacing w:after="80"/>
      </w:pPr>
      <w:r>
        <w:rPr>
          <w:rFonts w:ascii="Arial" w:cs="Arial" w:eastAsia="Arial" w:hAnsi="Arial"/>
          <w:b/>
          <w:bCs/>
          <w:sz w:val="21"/>
          <w:szCs w:val="21"/>
        </w:rPr>
        <w:t xml:space="preserve">Tier 4 – Manual review queue: </w:t>
      </w:r>
      <w:r>
        <w:rPr>
          <w:rFonts w:ascii="Arial" w:cs="Arial" w:eastAsia="Arial" w:hAnsi="Arial"/>
          <w:sz w:val="21"/>
          <w:szCs w:val="21"/>
        </w:rPr>
        <w:t xml:space="preserve">Ambiguous matches flagged for human review. Expected volume: &lt; 2% of records.</w:t>
      </w:r>
    </w:p>
    <w:p>
      <w:pPr>
        <w:pStyle w:val="Heading3"/>
        <w:spacing w:before="200" w:after="120"/>
      </w:pPr>
      <w:r>
        <w:rPr>
          <w:rFonts w:ascii="Arial" w:cs="Arial" w:eastAsia="Arial" w:hAnsi="Arial"/>
          <w:b/>
          <w:bCs/>
          <w:color w:val="3D7AB5"/>
          <w:sz w:val="22"/>
          <w:szCs w:val="22"/>
        </w:rPr>
        <w:t xml:space="preserve">Stage 4: Storage Design</w:t>
      </w:r>
    </w:p>
    <w:p>
      <w:pPr>
        <w:spacing w:after="160"/>
      </w:pPr>
      <w:r>
        <w:rPr>
          <w:rFonts w:ascii="Arial" w:cs="Arial" w:eastAsia="Arial" w:hAnsi="Arial"/>
          <w:sz w:val="21"/>
          <w:szCs w:val="21"/>
        </w:rPr>
        <w:t xml:space="preserve">All data lives in Supabase PostgreSQL with the following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(UUID), ein, name, city, state, zip, ntee_code, ruling_date, revenue, assets, mission_text, mission_embedding (vector)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org directory; both funders and recipients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filings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 org_id (FK), tax_year, form_type, filing_date, total_revenue, total_expenses, total_assets, total_grants_paid, raw_xml_path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One row per 990 filing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funder_org_id (FK), recipient_org_id (FK), filing_id (FK), tax_year, amount, purpose_text, recipient_name_raw, recipient_ein_raw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grant records; the core relationship table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peer_scores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org_a_id, org_b_id, score, signal_breakdown (JSONB), computed_at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Precomputed peer similarity; refreshed weekly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org_embeddings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org_id, embedding (vector[1536]), source_text, model_version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Mission/purpose text embeddings for semantic matching</w:t>
            </w:r>
          </w:p>
        </w:tc>
      </w:tr>
    </w:tbl>
    <w:p>
      <w:pPr>
        <w:spacing w:after="160"/>
      </w:pPr>
    </w:p>
    <w:p>
      <w:pPr>
        <w:pStyle w:val="Heading2"/>
        <w:spacing w:before="280" w:after="160"/>
      </w:pPr>
      <w:r>
        <w:rPr>
          <w:rFonts w:ascii="Arial" w:cs="Arial" w:eastAsia="Arial" w:hAnsi="Arial"/>
          <w:b/>
          <w:bCs/>
          <w:color w:val="2E5984"/>
          <w:sz w:val="24"/>
          <w:szCs w:val="24"/>
        </w:rPr>
        <w:t xml:space="preserve">3.3 Update Frequency &amp; Data Freshness</w:t>
      </w:r>
    </w:p>
    <w:p>
      <w:pPr>
        <w:pStyle w:val="ListParagraph"/>
        <w:numPr>
          <w:ilvl w:val="0"/>
          <w:numId w:val="2"/>
        </w:numPr>
        <w:spacing w:after="80"/>
      </w:pPr>
      <w:r>
        <w:rPr>
          <w:rFonts w:ascii="Arial" w:cs="Arial" w:eastAsia="Arial" w:hAnsi="Arial"/>
          <w:b/>
          <w:bCs/>
          <w:sz w:val="21"/>
          <w:szCs w:val="21"/>
        </w:rPr>
        <w:t xml:space="preserve">Full backfill: </w:t>
      </w:r>
      <w:r>
        <w:rPr>
          <w:rFonts w:ascii="Arial" w:cs="Arial" w:eastAsia="Arial" w:hAnsi="Arial"/>
          <w:sz w:val="21"/>
          <w:szCs w:val="21"/>
        </w:rPr>
        <w:t xml:space="preserve">One-time load of all available filings (2011–present). Estimated 3.2M filing records, 45M+ grant records. Runtime: 6–8 hours on a 4-vCPU instance.</w:t>
      </w:r>
    </w:p>
    <w:p>
      <w:pPr>
        <w:pStyle w:val="ListParagraph"/>
        <w:numPr>
          <w:ilvl w:val="0"/>
          <w:numId w:val="2"/>
        </w:numPr>
        <w:spacing w:after="80"/>
      </w:pPr>
      <w:r>
        <w:rPr>
          <w:rFonts w:ascii="Arial" w:cs="Arial" w:eastAsia="Arial" w:hAnsi="Arial"/>
          <w:b/>
          <w:bCs/>
          <w:sz w:val="21"/>
          <w:szCs w:val="21"/>
        </w:rPr>
        <w:t xml:space="preserve">Incremental updates: </w:t>
      </w:r>
      <w:r>
        <w:rPr>
          <w:rFonts w:ascii="Arial" w:cs="Arial" w:eastAsia="Arial" w:hAnsi="Arial"/>
          <w:sz w:val="21"/>
          <w:szCs w:val="21"/>
        </w:rPr>
        <w:t xml:space="preserve">Daily check for new IRS monthly ZIPs; parse and merge delta. Expected volume: 15,000–25,000 new filings per month.</w:t>
      </w:r>
    </w:p>
    <w:p>
      <w:pPr>
        <w:pStyle w:val="ListParagraph"/>
        <w:numPr>
          <w:ilvl w:val="0"/>
          <w:numId w:val="2"/>
        </w:numPr>
        <w:spacing w:after="80"/>
      </w:pPr>
      <w:r>
        <w:rPr>
          <w:rFonts w:ascii="Arial" w:cs="Arial" w:eastAsia="Arial" w:hAnsi="Arial"/>
          <w:b/>
          <w:bCs/>
          <w:sz w:val="21"/>
          <w:szCs w:val="21"/>
        </w:rPr>
        <w:t xml:space="preserve">Entity resolution refresh: </w:t>
      </w:r>
      <w:r>
        <w:rPr>
          <w:rFonts w:ascii="Arial" w:cs="Arial" w:eastAsia="Arial" w:hAnsi="Arial"/>
          <w:sz w:val="21"/>
          <w:szCs w:val="21"/>
        </w:rPr>
        <w:t xml:space="preserve">Weekly batch job re-scores Tier 2/3 matches as new data arrives.</w:t>
      </w:r>
    </w:p>
    <w:p>
      <w:pPr>
        <w:pStyle w:val="ListParagraph"/>
        <w:numPr>
          <w:ilvl w:val="0"/>
          <w:numId w:val="2"/>
        </w:numPr>
        <w:spacing w:after="80"/>
      </w:pPr>
      <w:r>
        <w:rPr>
          <w:rFonts w:ascii="Arial" w:cs="Arial" w:eastAsia="Arial" w:hAnsi="Arial"/>
          <w:b/>
          <w:bCs/>
          <w:sz w:val="21"/>
          <w:szCs w:val="21"/>
        </w:rPr>
        <w:t xml:space="preserve">Embedding refresh: </w:t>
      </w:r>
      <w:r>
        <w:rPr>
          <w:rFonts w:ascii="Arial" w:cs="Arial" w:eastAsia="Arial" w:hAnsi="Arial"/>
          <w:sz w:val="21"/>
          <w:szCs w:val="21"/>
        </w:rPr>
        <w:t xml:space="preserve">Triggered when an org’s mission_text changes or a new filing provides updated purpose descriptions.</w:t>
      </w:r>
    </w:p>
    <w:p>
      <w:r>
        <w:br w:type="page"/>
      </w:r>
    </w:p>
    <w:p>
      <w:pPr>
        <w:pStyle w:val="Heading1"/>
        <w:spacing w:before="360" w:after="200"/>
      </w:pPr>
      <w:r>
        <w:rPr>
          <w:rFonts w:ascii="Arial" w:cs="Arial" w:eastAsia="Arial" w:hAnsi="Arial"/>
          <w:b/>
          <w:bCs/>
          <w:color w:val="1B3A5C"/>
          <w:sz w:val="28"/>
          <w:szCs w:val="28"/>
        </w:rPr>
        <w:t xml:space="preserve">4. Peer Organization Matching</w:t>
      </w:r>
    </w:p>
    <w:p>
      <w:pPr>
        <w:pStyle w:val="Heading2"/>
        <w:spacing w:before="280" w:after="160"/>
      </w:pPr>
      <w:r>
        <w:rPr>
          <w:rFonts w:ascii="Arial" w:cs="Arial" w:eastAsia="Arial" w:hAnsi="Arial"/>
          <w:b/>
          <w:bCs/>
          <w:color w:val="2E5984"/>
          <w:sz w:val="24"/>
          <w:szCs w:val="24"/>
        </w:rPr>
        <w:t xml:space="preserve">4.1 Algorithm Design</w:t>
      </w:r>
    </w:p>
    <w:p>
      <w:pPr>
        <w:spacing w:after="160"/>
      </w:pPr>
      <w:r>
        <w:rPr>
          <w:rFonts w:ascii="Arial" w:cs="Arial" w:eastAsia="Arial" w:hAnsi="Arial"/>
          <w:sz w:val="21"/>
          <w:szCs w:val="21"/>
        </w:rPr>
        <w:t xml:space="preserve">Peer matching combines six weighted signals into a composite similarity score. Each signal produces a value between 0 and 1, and the final peer score is a weighted sum normalized to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NTEE code match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major-group match = 1.0; same major + different minor = 0.7; related group = 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organizations.ntee_code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Mission semantic similarity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0.30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Cosine similarity of text-embedding-3-small vectors on mission_text</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org_embeddings 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Geographic proximity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city = 1.0; same state = 0.6; same region = 0.3; national = 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organizations.city, state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Revenue similarity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0.15</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 |log(rev_a) − log(rev_b)| / max_log_diff; capped at [0,1]</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filings.total_revenue (latest)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Funder overlap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Jaccard index of funder sets from grants table over last 5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grants table aggregated</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Recipient overlap (for funders)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0.10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Jaccard index of recipient sets; applies when comparing two funders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grants table aggregated</w:t>
            </w:r>
          </w:p>
        </w:tc>
      </w:tr>
    </w:tbl>
    <w:p>
      <w:pPr>
        <w:spacing w:after="160"/>
      </w:pPr>
    </w:p>
    <w:p>
      <w:pPr>
        <w:pStyle w:val="Heading2"/>
        <w:spacing w:before="280" w:after="160"/>
      </w:pPr>
      <w:r>
        <w:rPr>
          <w:rFonts w:ascii="Arial" w:cs="Arial" w:eastAsia="Arial" w:hAnsi="Arial"/>
          <w:b/>
          <w:bCs/>
          <w:color w:val="2E5984"/>
          <w:sz w:val="24"/>
          <w:szCs w:val="24"/>
        </w:rPr>
        <w:t xml:space="preserve">4.2 Ranking Logic</w:t>
      </w:r>
    </w:p>
    <w:p>
      <w:pPr>
        <w:spacing w:after="160"/>
      </w:pPr>
      <w:r>
        <w:rPr>
          <w:rFonts w:ascii="Arial" w:cs="Arial" w:eastAsia="Arial" w:hAnsi="Arial"/>
          <w:sz w:val="21"/>
          <w:szCs w:val="21"/>
        </w:rPr>
        <w:t xml:space="preserve">For a given target organization, peer candidates are generated in two passes:</w:t>
      </w:r>
    </w:p>
    <w:p>
      <w:pPr>
        <w:pStyle w:val="ListParagraph"/>
        <w:numPr>
          <w:ilvl w:val="0"/>
          <w:numId w:val="2"/>
        </w:numPr>
        <w:spacing w:after="80"/>
      </w:pPr>
      <w:r>
        <w:rPr>
          <w:rFonts w:ascii="Arial" w:cs="Arial" w:eastAsia="Arial" w:hAnsi="Arial"/>
          <w:b/>
          <w:bCs/>
          <w:sz w:val="21"/>
          <w:szCs w:val="21"/>
        </w:rPr>
        <w:t xml:space="preserve">Pass 1 – Candidate generation: </w:t>
      </w:r>
      <w:r>
        <w:rPr>
          <w:rFonts w:ascii="Arial" w:cs="Arial" w:eastAsia="Arial" w:hAnsi="Arial"/>
          <w:sz w:val="21"/>
          <w:szCs w:val="21"/>
        </w:rPr>
        <w:t xml:space="preserve">Retrieve all orgs sharing the same NTEE major group AND within 10x revenue range. If fewer than 50 candidates, expand to related NTEE groups. Also include any org sharing 2+ funders with the target (from the grants table). Union of these sets is the candidate pool.</w:t>
      </w:r>
    </w:p>
    <w:p>
      <w:pPr>
        <w:pStyle w:val="ListParagraph"/>
        <w:numPr>
          <w:ilvl w:val="0"/>
          <w:numId w:val="2"/>
        </w:numPr>
        <w:spacing w:after="80"/>
      </w:pPr>
      <w:r>
        <w:rPr>
          <w:rFonts w:ascii="Arial" w:cs="Arial" w:eastAsia="Arial" w:hAnsi="Arial"/>
          <w:b/>
          <w:bCs/>
          <w:sz w:val="21"/>
          <w:szCs w:val="21"/>
        </w:rPr>
        <w:t xml:space="preserve">Pass 2 – Scoring and ranking: </w:t>
      </w:r>
      <w:r>
        <w:rPr>
          <w:rFonts w:ascii="Arial" w:cs="Arial" w:eastAsia="Arial" w:hAnsi="Arial"/>
          <w:sz w:val="21"/>
          <w:szCs w:val="21"/>
        </w:rPr>
        <w:t xml:space="preserve">Compute the six-signal weighted score for each candidate against the target. Return top-N (default N=25) sorted by descending composite score.</w:t>
      </w:r>
    </w:p>
    <w:p>
      <w:pPr>
        <w:pStyle w:val="Heading2"/>
        <w:spacing w:before="280" w:after="160"/>
      </w:pPr>
      <w:r>
        <w:rPr>
          <w:rFonts w:ascii="Arial" w:cs="Arial" w:eastAsia="Arial" w:hAnsi="Arial"/>
          <w:b/>
          <w:bCs/>
          <w:color w:val="2E5984"/>
          <w:sz w:val="24"/>
          <w:szCs w:val="24"/>
        </w:rPr>
        <w:t xml:space="preserve">4.3 Confidence Scoring</w:t>
      </w:r>
    </w:p>
    <w:p>
      <w:pPr>
        <w:spacing w:after="160"/>
      </w:pPr>
      <w:r>
        <w:rPr>
          <w:rFonts w:ascii="Arial" w:cs="Arial" w:eastAsia="Arial" w:hAnsi="Arial"/>
          <w:sz w:val="21"/>
          <w:szCs w:val="21"/>
        </w:rPr>
        <w:t xml:space="preserve">Each peer result includes a confidence tier based on signal coverage:</w:t>
      </w:r>
    </w:p>
    <w:p>
      <w:pPr>
        <w:pStyle w:val="ListParagraph"/>
        <w:numPr>
          <w:ilvl w:val="0"/>
          <w:numId w:val="2"/>
        </w:numPr>
        <w:spacing w:after="80"/>
      </w:pPr>
      <w:r>
        <w:rPr>
          <w:rFonts w:ascii="Arial" w:cs="Arial" w:eastAsia="Arial" w:hAnsi="Arial"/>
          <w:b/>
          <w:bCs/>
          <w:sz w:val="21"/>
          <w:szCs w:val="21"/>
        </w:rPr>
        <w:t xml:space="preserve">High confidence (score ≥ 0.75): </w:t>
      </w:r>
      <w:r>
        <w:rPr>
          <w:rFonts w:ascii="Arial" w:cs="Arial" w:eastAsia="Arial" w:hAnsi="Arial"/>
          <w:sz w:val="21"/>
          <w:szCs w:val="21"/>
        </w:rPr>
        <w:t xml:space="preserve">At least 5 of 6 signals have data; funder overlap &gt; 0.</w:t>
      </w:r>
    </w:p>
    <w:p>
      <w:pPr>
        <w:pStyle w:val="ListParagraph"/>
        <w:numPr>
          <w:ilvl w:val="0"/>
          <w:numId w:val="2"/>
        </w:numPr>
        <w:spacing w:after="80"/>
      </w:pPr>
      <w:r>
        <w:rPr>
          <w:rFonts w:ascii="Arial" w:cs="Arial" w:eastAsia="Arial" w:hAnsi="Arial"/>
          <w:b/>
          <w:bCs/>
          <w:sz w:val="21"/>
          <w:szCs w:val="21"/>
        </w:rPr>
        <w:t xml:space="preserve">Medium confidence (0.50–0.74): </w:t>
      </w:r>
      <w:r>
        <w:rPr>
          <w:rFonts w:ascii="Arial" w:cs="Arial" w:eastAsia="Arial" w:hAnsi="Arial"/>
          <w:sz w:val="21"/>
          <w:szCs w:val="21"/>
        </w:rPr>
        <w:t xml:space="preserve">At least 3 signals have data; NTEE or mission match is strong.</w:t>
      </w:r>
    </w:p>
    <w:p>
      <w:pPr>
        <w:pStyle w:val="ListParagraph"/>
        <w:numPr>
          <w:ilvl w:val="0"/>
          <w:numId w:val="2"/>
        </w:numPr>
        <w:spacing w:after="80"/>
      </w:pPr>
      <w:r>
        <w:rPr>
          <w:rFonts w:ascii="Arial" w:cs="Arial" w:eastAsia="Arial" w:hAnsi="Arial"/>
          <w:b/>
          <w:bCs/>
          <w:sz w:val="21"/>
          <w:szCs w:val="21"/>
        </w:rPr>
        <w:t xml:space="preserve">Low confidence (&lt; 0.50): </w:t>
      </w:r>
      <w:r>
        <w:rPr>
          <w:rFonts w:ascii="Arial" w:cs="Arial" w:eastAsia="Arial" w:hAnsi="Arial"/>
          <w:sz w:val="21"/>
          <w:szCs w:val="21"/>
        </w:rPr>
        <w:t xml:space="preserve">Sparse data; displayed with a caveat label. Below 0.30: suppressed from default results.</w:t>
      </w:r>
    </w:p>
    <w:p>
      <w:pPr>
        <w:pStyle w:val="Heading2"/>
        <w:spacing w:before="280" w:after="160"/>
      </w:pPr>
      <w:r>
        <w:rPr>
          <w:rFonts w:ascii="Arial" w:cs="Arial" w:eastAsia="Arial" w:hAnsi="Arial"/>
          <w:b/>
          <w:bCs/>
          <w:color w:val="2E5984"/>
          <w:sz w:val="24"/>
          <w:szCs w:val="24"/>
        </w:rPr>
        <w:t xml:space="preserve">4.4 Precomputation Strategy</w:t>
      </w:r>
    </w:p>
    <w:p>
      <w:pPr>
        <w:spacing w:after="160"/>
      </w:pPr>
      <w:r>
        <w:rPr>
          <w:rFonts w:ascii="Arial" w:cs="Arial" w:eastAsia="Arial" w:hAnsi="Arial"/>
          <w:sz w:val="21"/>
          <w:szCs w:val="21"/>
        </w:rPr>
        <w:t xml:space="preserve">Peer scores are precomputed weekly for the top 50,000 organizations by filing frequency. On-demand computation handles the long tail with a sub-2-second response target using ANN (approximate nearest neighbor) search on the embeddings table via pgvector’s HNSW index.</w:t>
      </w:r>
    </w:p>
    <w:p>
      <w:r>
        <w:br w:type="page"/>
      </w:r>
    </w:p>
    <w:p>
      <w:pPr>
        <w:pStyle w:val="Heading1"/>
        <w:spacing w:before="360" w:after="200"/>
      </w:pPr>
      <w:r>
        <w:rPr>
          <w:rFonts w:ascii="Arial" w:cs="Arial" w:eastAsia="Arial" w:hAnsi="Arial"/>
          <w:b/>
          <w:bCs/>
          <w:color w:val="1B3A5C"/>
          <w:sz w:val="28"/>
          <w:szCs w:val="28"/>
        </w:rPr>
        <w:t xml:space="preserve">5. Reverse Search &amp; Recipient Profiles</w:t>
      </w:r>
    </w:p>
    <w:p>
      <w:pPr>
        <w:pStyle w:val="Heading2"/>
        <w:spacing w:before="280" w:after="160"/>
      </w:pPr>
      <w:r>
        <w:rPr>
          <w:rFonts w:ascii="Arial" w:cs="Arial" w:eastAsia="Arial" w:hAnsi="Arial"/>
          <w:b/>
          <w:bCs/>
          <w:color w:val="2E5984"/>
          <w:sz w:val="24"/>
          <w:szCs w:val="24"/>
        </w:rPr>
        <w:t xml:space="preserve">5.1 User Flow</w:t>
      </w:r>
    </w:p>
    <w:p>
      <w:pPr>
        <w:spacing w:after="160"/>
      </w:pPr>
      <w:r>
        <w:rPr>
          <w:rFonts w:ascii="Arial" w:cs="Arial" w:eastAsia="Arial" w:hAnsi="Arial"/>
          <w:sz w:val="21"/>
          <w:szCs w:val="21"/>
        </w:rPr>
        <w:t xml:space="preserve">Reverse search inverts the standard FunderMatch flow. Instead of “what funders match my mission,” the user asks: “Who funds Organization X, and who else is similar to them?”</w:t>
      </w:r>
    </w:p>
    <w:p>
      <w:pPr>
        <w:pStyle w:val="ListParagraph"/>
        <w:numPr>
          <w:ilvl w:val="0"/>
          <w:numId w:val="2"/>
        </w:numPr>
        <w:spacing w:after="80"/>
      </w:pPr>
      <w:r>
        <w:rPr>
          <w:rFonts w:ascii="Arial" w:cs="Arial" w:eastAsia="Arial" w:hAnsi="Arial"/>
          <w:sz w:val="21"/>
          <w:szCs w:val="21"/>
        </w:rPr>
        <w:t xml:space="preserve">User enters a nonprofit name or EIN in a search bar.</w:t>
      </w:r>
    </w:p>
    <w:p>
      <w:pPr>
        <w:pStyle w:val="ListParagraph"/>
        <w:numPr>
          <w:ilvl w:val="0"/>
          <w:numId w:val="2"/>
        </w:numPr>
        <w:spacing w:after="80"/>
      </w:pPr>
      <w:r>
        <w:rPr>
          <w:rFonts w:ascii="Arial" w:cs="Arial" w:eastAsia="Arial" w:hAnsi="Arial"/>
          <w:sz w:val="21"/>
          <w:szCs w:val="21"/>
        </w:rPr>
        <w:t xml:space="preserve">System resolves to a canonical organization record.</w:t>
      </w:r>
    </w:p>
    <w:p>
      <w:pPr>
        <w:pStyle w:val="ListParagraph"/>
        <w:numPr>
          <w:ilvl w:val="0"/>
          <w:numId w:val="2"/>
        </w:numPr>
        <w:spacing w:after="80"/>
      </w:pPr>
      <w:r>
        <w:rPr>
          <w:rFonts w:ascii="Arial" w:cs="Arial" w:eastAsia="Arial" w:hAnsi="Arial"/>
          <w:sz w:val="21"/>
          <w:szCs w:val="21"/>
        </w:rPr>
        <w:t xml:space="preserve">Recipient Profile page displays: organization summary, all historical funders (from grants table), peer organizations, and giving patterns received.</w:t>
      </w:r>
    </w:p>
    <w:p>
      <w:pPr>
        <w:pStyle w:val="ListParagraph"/>
        <w:numPr>
          <w:ilvl w:val="0"/>
          <w:numId w:val="2"/>
        </w:numPr>
        <w:spacing w:after="80"/>
      </w:pPr>
      <w:r>
        <w:rPr>
          <w:rFonts w:ascii="Arial" w:cs="Arial" w:eastAsia="Arial" w:hAnsi="Arial"/>
          <w:sz w:val="21"/>
          <w:szCs w:val="21"/>
        </w:rPr>
        <w:t xml:space="preserve">Each funder listed is clickable—links to the enriched funder profile (Section 6).</w:t>
      </w:r>
    </w:p>
    <w:p>
      <w:pPr>
        <w:pStyle w:val="ListParagraph"/>
        <w:numPr>
          <w:ilvl w:val="0"/>
          <w:numId w:val="2"/>
        </w:numPr>
        <w:spacing w:after="80"/>
      </w:pPr>
      <w:r>
        <w:rPr>
          <w:rFonts w:ascii="Arial" w:cs="Arial" w:eastAsia="Arial" w:hAnsi="Arial"/>
          <w:sz w:val="21"/>
          <w:szCs w:val="21"/>
        </w:rPr>
        <w:t xml:space="preserve">Each peer is clickable—links to that peer’s own recipient profile.</w:t>
      </w:r>
    </w:p>
    <w:p>
      <w:pPr>
        <w:pStyle w:val="Heading2"/>
        <w:spacing w:before="280" w:after="160"/>
      </w:pPr>
      <w:r>
        <w:rPr>
          <w:rFonts w:ascii="Arial" w:cs="Arial" w:eastAsia="Arial" w:hAnsi="Arial"/>
          <w:b/>
          <w:bCs/>
          <w:color w:val="2E5984"/>
          <w:sz w:val="24"/>
          <w:szCs w:val="24"/>
        </w:rPr>
        <w:t xml:space="preserve">5.2 Recipient Profile Fields</w:t>
      </w:r>
    </w:p>
    <w:p>
      <w:pPr>
        <w:spacing w:after="160"/>
      </w:pPr>
      <w:r>
        <w:rPr>
          <w:rFonts w:ascii="Arial" w:cs="Arial" w:eastAsia="Arial" w:hAnsi="Arial"/>
          <w:sz w:val="21"/>
          <w:szCs w:val="21"/>
        </w:rPr>
        <w:t xml:space="preserve">The recipient profile page should display the following data, organized into clear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Overview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EIN, city/state, NTEE code, mission text, ruling date, latest revenue, latest assets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 + latest filing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Funding History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Table: funder name, grant amount, tax year, purpose, funder type (foundation/corporate/DAF). Sortable by year, amount. Aggregates: total received, grant count, unique funders, average grant size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grants table joined to organizations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Funding Trends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chart: total grants received per year. Bar chart: number of unique funders per year. Trendline direction indicator (growing/stable/declining)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grants table aggregated by tax_year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 Funders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Ranked list of funders by cumulative giving. Each entry: funder name, total given, number of grants, first/last grant year, link to funder profile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grants aggregated by funder_org_id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Organizations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 peers by composite peer score. Each entry: name, score, top shared funders, revenue comparison, link to peer’s recipient 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peer_scores + organizations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Geographic Context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Map pin or state indicator. Count of funders in-state vs. out-of-state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grants + organizations location data</w:t>
            </w:r>
          </w:p>
        </w:tc>
      </w:tr>
    </w:tbl>
    <w:p>
      <w:pPr>
        <w:spacing w:after="160"/>
      </w:pPr>
    </w:p>
    <w:p>
      <w:pPr>
        <w:pStyle w:val="Heading2"/>
        <w:spacing w:before="280" w:after="160"/>
      </w:pPr>
      <w:r>
        <w:rPr>
          <w:rFonts w:ascii="Arial" w:cs="Arial" w:eastAsia="Arial" w:hAnsi="Arial"/>
          <w:b/>
          <w:bCs/>
          <w:color w:val="2E5984"/>
          <w:sz w:val="24"/>
          <w:szCs w:val="24"/>
        </w:rPr>
        <w:t xml:space="preserve">5.3 Search Implementation</w:t>
      </w:r>
    </w:p>
    <w:p>
      <w:pPr>
        <w:spacing w:after="160"/>
      </w:pPr>
      <w:r>
        <w:rPr>
          <w:rFonts w:ascii="Arial" w:cs="Arial" w:eastAsia="Arial" w:hAnsi="Arial"/>
          <w:sz w:val="21"/>
          <w:szCs w:val="21"/>
        </w:rPr>
        <w:t xml:space="preserve">Recipient search uses a combined full-text + fuzzy approach:</w:t>
      </w:r>
    </w:p>
    <w:p>
      <w:pPr>
        <w:pStyle w:val="ListParagraph"/>
        <w:numPr>
          <w:ilvl w:val="0"/>
          <w:numId w:val="2"/>
        </w:numPr>
        <w:spacing w:after="80"/>
      </w:pPr>
      <w:r>
        <w:rPr>
          <w:rFonts w:ascii="Arial" w:cs="Arial" w:eastAsia="Arial" w:hAnsi="Arial"/>
          <w:b/>
          <w:bCs/>
          <w:sz w:val="21"/>
          <w:szCs w:val="21"/>
        </w:rPr>
        <w:t xml:space="preserve">EIN lookup: </w:t>
      </w:r>
      <w:r>
        <w:rPr>
          <w:rFonts w:ascii="Arial" w:cs="Arial" w:eastAsia="Arial" w:hAnsi="Arial"/>
          <w:sz w:val="21"/>
          <w:szCs w:val="21"/>
        </w:rPr>
        <w:t xml:space="preserve">If input matches EIN pattern (XX-XXXXXXX), direct lookup on organizations.ein. O(1).</w:t>
      </w:r>
    </w:p>
    <w:p>
      <w:pPr>
        <w:pStyle w:val="ListParagraph"/>
        <w:numPr>
          <w:ilvl w:val="0"/>
          <w:numId w:val="2"/>
        </w:numPr>
        <w:spacing w:after="80"/>
      </w:pPr>
      <w:r>
        <w:rPr>
          <w:rFonts w:ascii="Arial" w:cs="Arial" w:eastAsia="Arial" w:hAnsi="Arial"/>
          <w:b/>
          <w:bCs/>
          <w:sz w:val="21"/>
          <w:szCs w:val="21"/>
        </w:rPr>
        <w:t xml:space="preserve">Name search: </w:t>
      </w:r>
      <w:r>
        <w:rPr>
          <w:rFonts w:ascii="Arial" w:cs="Arial" w:eastAsia="Arial" w:hAnsi="Arial"/>
          <w:sz w:val="21"/>
          <w:szCs w:val="21"/>
        </w:rPr>
        <w:t xml:space="preserve">PostgreSQL full-text search (tsvector) on organizations.name with pg_trgm fuzzy fallback for typo tolerance. Returns top 10 candidates with name, city/state, revenue for disambiguation.</w:t>
      </w:r>
    </w:p>
    <w:p>
      <w:pPr>
        <w:pStyle w:val="ListParagraph"/>
        <w:numPr>
          <w:ilvl w:val="0"/>
          <w:numId w:val="2"/>
        </w:numPr>
        <w:spacing w:after="80"/>
      </w:pPr>
      <w:r>
        <w:rPr>
          <w:rFonts w:ascii="Arial" w:cs="Arial" w:eastAsia="Arial" w:hAnsi="Arial"/>
          <w:b/>
          <w:bCs/>
          <w:sz w:val="21"/>
          <w:szCs w:val="21"/>
        </w:rPr>
        <w:t xml:space="preserve">Autocomplete: </w:t>
      </w:r>
      <w:r>
        <w:rPr>
          <w:rFonts w:ascii="Arial" w:cs="Arial" w:eastAsia="Arial" w:hAnsi="Arial"/>
          <w:sz w:val="21"/>
          <w:szCs w:val="21"/>
        </w:rPr>
        <w:t xml:space="preserve">Prefix matching via pg_trgm GIN index. Target: &lt; 100ms latency for typeahead.</w:t>
      </w:r>
    </w:p>
    <w:p>
      <w:r>
        <w:br w:type="page"/>
      </w:r>
    </w:p>
    <w:p>
      <w:pPr>
        <w:pStyle w:val="Heading1"/>
        <w:spacing w:before="360" w:after="200"/>
      </w:pPr>
      <w:r>
        <w:rPr>
          <w:rFonts w:ascii="Arial" w:cs="Arial" w:eastAsia="Arial" w:hAnsi="Arial"/>
          <w:b/>
          <w:bCs/>
          <w:color w:val="1B3A5C"/>
          <w:sz w:val="28"/>
          <w:szCs w:val="28"/>
        </w:rPr>
        <w:t xml:space="preserve">6. Enriched Funder Profiles</w:t>
      </w:r>
    </w:p>
    <w:p>
      <w:pPr>
        <w:pStyle w:val="Heading2"/>
        <w:spacing w:before="280" w:after="160"/>
      </w:pPr>
      <w:r>
        <w:rPr>
          <w:rFonts w:ascii="Arial" w:cs="Arial" w:eastAsia="Arial" w:hAnsi="Arial"/>
          <w:b/>
          <w:bCs/>
          <w:color w:val="2E5984"/>
          <w:sz w:val="24"/>
          <w:szCs w:val="24"/>
        </w:rPr>
        <w:t xml:space="preserve">6.1 Current State</w:t>
      </w:r>
    </w:p>
    <w:p>
      <w:pPr>
        <w:spacing w:after="160"/>
      </w:pPr>
      <w:r>
        <w:rPr>
          <w:rFonts w:ascii="Arial" w:cs="Arial" w:eastAsia="Arial" w:hAnsi="Arial"/>
          <w:sz w:val="21"/>
          <w:szCs w:val="21"/>
        </w:rPr>
        <w:t xml:space="preserve">FunderMatch’s existing funder detail page (FunderDetail.tsx) shows: name, type, NTEE code, AI-generated match reason, similar past grantees (inferred by Claude, not from structured data), focus areas, total giving (single number), grant range, next step, and contact information. There is no historical trend data, no category breakdowns, and no structured grant history.</w:t>
      </w:r>
    </w:p>
    <w:p>
      <w:pPr>
        <w:pStyle w:val="Heading2"/>
        <w:spacing w:before="280" w:after="160"/>
      </w:pPr>
      <w:r>
        <w:rPr>
          <w:rFonts w:ascii="Arial" w:cs="Arial" w:eastAsia="Arial" w:hAnsi="Arial"/>
          <w:b/>
          <w:bCs/>
          <w:color w:val="2E5984"/>
          <w:sz w:val="24"/>
          <w:szCs w:val="24"/>
        </w:rPr>
        <w:t xml:space="preserve">6.2 990-Derived Enhancements</w:t>
      </w:r>
    </w:p>
    <w:p>
      <w:pPr>
        <w:spacing w:after="160"/>
      </w:pPr>
      <w:r>
        <w:rPr>
          <w:rFonts w:ascii="Arial" w:cs="Arial" w:eastAsia="Arial" w:hAnsi="Arial"/>
          <w:sz w:val="21"/>
          <w:szCs w:val="21"/>
        </w:rPr>
        <w:t xml:space="preserve">With the 990 data pipeline in place, funder profiles gain the following new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Section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 History Timeline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table: all grants made, by year. Columns: recipient, amount, purpose, location. Filterable by year, amount range, NTEE category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users verify a funder actually funds orgs like theirs—not just AI inference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Giving Trends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Charts: total giving per year (line), number of grants per year (bar), average grant size trend (line). 5-year and 10-year views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Reveals whether a funder is growing, stable, or contracting its giving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vs. Repeat Grantee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Stacked bar chart: % of grants to new vs. repeat recipients per year. Metric: “Openness to New Grantees” score (3-year rolling new-grantee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signal: a funder with 80% repeat rate is a harder target than one with 50%</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Giving by Category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Donut chart: distribution of grants by recipient NTEE major group. Year-over-year comparison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Shows if a funder is diversifying or concentrating its focus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Geographic Footprint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 map or state-level choropleth of grant recipients. Metric: % in-state vs. out-of-state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Answers “Does this funder give nationally or only locally?”</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Peer Funders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Top 10 funders with highest recipient overlap (Jaccard on recipient sets). Each entry links to that funder’s profile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Enables “If Funder A funds us, who else might?” discovery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Recipients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20 recipients by cumulative amount. Each links to recipient profile. Tags: multi-year recipient, new recipient, largest single grant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the funder’s core portfolio at a glance</w:t>
            </w:r>
          </w:p>
        </w:tc>
      </w:tr>
    </w:tbl>
    <w:p>
      <w:pPr>
        <w:spacing w:after="160"/>
      </w:pPr>
    </w:p>
    <w:p>
      <w:pPr>
        <w:pStyle w:val="Heading2"/>
        <w:spacing w:before="280" w:after="160"/>
      </w:pPr>
      <w:r>
        <w:rPr>
          <w:rFonts w:ascii="Arial" w:cs="Arial" w:eastAsia="Arial" w:hAnsi="Arial"/>
          <w:b/>
          <w:bCs/>
          <w:color w:val="2E5984"/>
          <w:sz w:val="24"/>
          <w:szCs w:val="24"/>
        </w:rPr>
        <w:t xml:space="preserve">6.3 Integration with Existing AI Matching</w:t>
      </w:r>
    </w:p>
    <w:p>
      <w:pPr>
        <w:spacing w:after="160"/>
      </w:pPr>
      <w:r>
        <w:rPr>
          <w:rFonts w:ascii="Arial" w:cs="Arial" w:eastAsia="Arial" w:hAnsi="Arial"/>
          <w:sz w:val="21"/>
          <w:szCs w:val="21"/>
        </w:rPr>
        <w:t xml:space="preserve">The current AI-powered match (Claude via edge function) returns a fit_score, fit_explanation, and similar_past_grantees. With 990 data available, we enhance this in two ways:</w:t>
      </w:r>
    </w:p>
    <w:p>
      <w:pPr>
        <w:pStyle w:val="ListParagraph"/>
        <w:numPr>
          <w:ilvl w:val="0"/>
          <w:numId w:val="2"/>
        </w:numPr>
        <w:spacing w:after="80"/>
      </w:pPr>
      <w:r>
        <w:rPr>
          <w:rFonts w:ascii="Arial" w:cs="Arial" w:eastAsia="Arial" w:hAnsi="Arial"/>
          <w:b/>
          <w:bCs/>
          <w:sz w:val="21"/>
          <w:szCs w:val="21"/>
        </w:rPr>
        <w:t xml:space="preserve">Ground-truth validation: </w:t>
      </w:r>
      <w:r>
        <w:rPr>
          <w:rFonts w:ascii="Arial" w:cs="Arial" w:eastAsia="Arial" w:hAnsi="Arial"/>
          <w:sz w:val="21"/>
          <w:szCs w:val="21"/>
        </w:rPr>
        <w:t xml:space="preserve">Claude’s similar_past_grantees inference can be validated against actual 990 grant records. If a grantee Claude suggests appears in the grants table, we tag it as “Verified from 990 data” and include the actual dollar amount and year.</w:t>
      </w:r>
    </w:p>
    <w:p>
      <w:pPr>
        <w:pStyle w:val="ListParagraph"/>
        <w:numPr>
          <w:ilvl w:val="0"/>
          <w:numId w:val="2"/>
        </w:numPr>
        <w:spacing w:after="80"/>
      </w:pPr>
      <w:r>
        <w:rPr>
          <w:rFonts w:ascii="Arial" w:cs="Arial" w:eastAsia="Arial" w:hAnsi="Arial"/>
          <w:b/>
          <w:bCs/>
          <w:sz w:val="21"/>
          <w:szCs w:val="21"/>
        </w:rPr>
        <w:t xml:space="preserve">Signal injection: </w:t>
      </w:r>
      <w:r>
        <w:rPr>
          <w:rFonts w:ascii="Arial" w:cs="Arial" w:eastAsia="Arial" w:hAnsi="Arial"/>
          <w:sz w:val="21"/>
          <w:szCs w:val="21"/>
        </w:rPr>
        <w:t xml:space="preserve">Pass the funder’s new-grantee openness score, geographic match %, and NTEE category alignment into the Claude prompt as structured context. This shifts the AI from pure semantic matching to data-informed matching.</w:t>
      </w:r>
    </w:p>
    <w:p>
      <w:r>
        <w:br w:type="page"/>
      </w:r>
    </w:p>
    <w:p>
      <w:pPr>
        <w:pStyle w:val="Heading1"/>
        <w:spacing w:before="360" w:after="200"/>
      </w:pPr>
      <w:r>
        <w:rPr>
          <w:rFonts w:ascii="Arial" w:cs="Arial" w:eastAsia="Arial" w:hAnsi="Arial"/>
          <w:b/>
          <w:bCs/>
          <w:color w:val="1B3A5C"/>
          <w:sz w:val="28"/>
          <w:szCs w:val="28"/>
        </w:rPr>
        <w:t xml:space="preserve">7. Recommended Product Output</w:t>
      </w:r>
    </w:p>
    <w:p>
      <w:pPr>
        <w:pStyle w:val="Heading2"/>
        <w:spacing w:before="280" w:after="160"/>
      </w:pPr>
      <w:r>
        <w:rPr>
          <w:rFonts w:ascii="Arial" w:cs="Arial" w:eastAsia="Arial" w:hAnsi="Arial"/>
          <w:b/>
          <w:bCs/>
          <w:color w:val="2E5984"/>
          <w:sz w:val="24"/>
          <w:szCs w:val="24"/>
        </w:rPr>
        <w:t xml:space="preserve">7.1 Feature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990 data pipeline (backfill)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 all historical 990/990-PF filings; parse grants; resolve entities; store in 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 weeks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990 incremental updater</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Daily cron job to fetch new IRS monthly ZIPs and merge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search &amp; profiles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by name/EIN; display funding history, trends, top funders, peers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Enriched funder profile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grant history, giving trends, new/repeat analysis, category breakdown, geographic footprint to existing FunderDetail page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3–4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 matching algorithm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Six-signal weighted scoring; precomputation for top orgs; on-demand for long tail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Peer tracking lists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Users can save and track peer organizations; see new funders their peers receive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P1</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navigation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Cross-linked funder ↔ recipient profiles; breadcrumb trail; “See who else they fund”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match enhancement</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Inject 990 signals into Claude prompt; validate similar_past_grantees against actual grants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P2</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Openness to New Grantees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3-year % of grants to first-time recipients; displayed on funder profile and in search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Giving trend alerts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Notify users when a saved funder’s giving increases or a peer receives a new grant</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P2</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weeks</w:t>
            </w:r>
          </w:p>
        </w:tc>
      </w:tr>
    </w:tbl>
    <w:p>
      <w:pPr>
        <w:spacing w:after="160"/>
      </w:pPr>
    </w:p>
    <w:p>
      <w:pPr>
        <w:pStyle w:val="Heading2"/>
        <w:spacing w:before="280" w:after="160"/>
      </w:pPr>
      <w:r>
        <w:rPr>
          <w:rFonts w:ascii="Arial" w:cs="Arial" w:eastAsia="Arial" w:hAnsi="Arial"/>
          <w:b/>
          <w:bCs/>
          <w:color w:val="2E5984"/>
          <w:sz w:val="24"/>
          <w:szCs w:val="24"/>
        </w:rPr>
        <w:t xml:space="preserve">7.2 Proposed Data Model</w:t>
      </w:r>
    </w:p>
    <w:p>
      <w:pPr>
        <w:spacing w:after="160"/>
      </w:pPr>
      <w:r>
        <w:rPr>
          <w:rFonts w:ascii="Arial" w:cs="Arial" w:eastAsia="Arial" w:hAnsi="Arial"/>
          <w:sz w:val="21"/>
          <w:szCs w:val="21"/>
        </w:rPr>
        <w:t xml:space="preserve">The data model centers on a bipartite graph: organizations give grants to other organizations. The grants table is the core edge table.</w:t>
      </w:r>
    </w:p>
    <w:p>
      <w:pPr>
        <w:pStyle w:val="Heading3"/>
        <w:spacing w:before="200" w:after="120"/>
      </w:pPr>
      <w:r>
        <w:rPr>
          <w:rFonts w:ascii="Arial" w:cs="Arial" w:eastAsia="Arial" w:hAnsi="Arial"/>
          <w:b/>
          <w:bCs/>
          <w:color w:val="3D7AB5"/>
          <w:sz w:val="22"/>
          <w:szCs w:val="22"/>
        </w:rPr>
        <w:t xml:space="preserve">Entity-Relationship Summary</w:t>
      </w:r>
    </w:p>
    <w:p>
      <w:pPr>
        <w:pStyle w:val="ListParagraph"/>
        <w:numPr>
          <w:ilvl w:val="0"/>
          <w:numId w:val="2"/>
        </w:numPr>
        <w:spacing w:after="80"/>
      </w:pPr>
      <w:r>
        <w:rPr>
          <w:rFonts w:ascii="Arial" w:cs="Arial" w:eastAsia="Arial" w:hAnsi="Arial"/>
          <w:sz w:val="21"/>
          <w:szCs w:val="21"/>
        </w:rPr>
        <w:t xml:space="preserve">organizations (1) → (many) filings: one org files many 990s over time.</w:t>
      </w:r>
    </w:p>
    <w:p>
      <w:pPr>
        <w:pStyle w:val="ListParagraph"/>
        <w:numPr>
          <w:ilvl w:val="0"/>
          <w:numId w:val="2"/>
        </w:numPr>
        <w:spacing w:after="80"/>
      </w:pPr>
      <w:r>
        <w:rPr>
          <w:rFonts w:ascii="Arial" w:cs="Arial" w:eastAsia="Arial" w:hAnsi="Arial"/>
          <w:sz w:val="21"/>
          <w:szCs w:val="21"/>
        </w:rPr>
        <w:t xml:space="preserve">filings (1) → (many) grants: each filing lists multiple grants made.</w:t>
      </w:r>
    </w:p>
    <w:p>
      <w:pPr>
        <w:pStyle w:val="ListParagraph"/>
        <w:numPr>
          <w:ilvl w:val="0"/>
          <w:numId w:val="2"/>
        </w:numPr>
        <w:spacing w:after="80"/>
      </w:pPr>
      <w:r>
        <w:rPr>
          <w:rFonts w:ascii="Arial" w:cs="Arial" w:eastAsia="Arial" w:hAnsi="Arial"/>
          <w:sz w:val="21"/>
          <w:szCs w:val="21"/>
        </w:rPr>
        <w:t xml:space="preserve">grants links two organizations: funder_org_id and recipient_org_id.</w:t>
      </w:r>
    </w:p>
    <w:p>
      <w:pPr>
        <w:pStyle w:val="ListParagraph"/>
        <w:numPr>
          <w:ilvl w:val="0"/>
          <w:numId w:val="2"/>
        </w:numPr>
        <w:spacing w:after="80"/>
      </w:pPr>
      <w:r>
        <w:rPr>
          <w:rFonts w:ascii="Arial" w:cs="Arial" w:eastAsia="Arial" w:hAnsi="Arial"/>
          <w:sz w:val="21"/>
          <w:szCs w:val="21"/>
        </w:rPr>
        <w:t xml:space="preserve">peer_scores is a symmetric adjacency table on organizations.</w:t>
      </w:r>
    </w:p>
    <w:p>
      <w:pPr>
        <w:pStyle w:val="ListParagraph"/>
        <w:numPr>
          <w:ilvl w:val="0"/>
          <w:numId w:val="2"/>
        </w:numPr>
        <w:spacing w:after="80"/>
      </w:pPr>
      <w:r>
        <w:rPr>
          <w:rFonts w:ascii="Arial" w:cs="Arial" w:eastAsia="Arial" w:hAnsi="Arial"/>
          <w:sz w:val="21"/>
          <w:szCs w:val="21"/>
        </w:rPr>
        <w:t xml:space="preserve">org_embeddings stores vector representations for semantic search.</w:t>
      </w:r>
    </w:p>
    <w:p>
      <w:pPr>
        <w:spacing w:after="160"/>
      </w:pPr>
      <w:r>
        <w:rPr>
          <w:rFonts w:ascii="Arial" w:cs="Arial" w:eastAsia="Arial" w:hAnsi="Arial"/>
          <w:sz w:val="21"/>
          <w:szCs w:val="21"/>
        </w:rPr>
        <w:t xml:space="preserve">Indexes: B-tree on grants(funder_org_id, tax_year), grants(recipient_org_id, tax_year), organizations(ein), organizations(name) with pg_trgm GIN. HNSW index on org_embeddings(embedding) for ANN search.</w:t>
      </w:r>
    </w:p>
    <w:p>
      <w:pPr>
        <w:pStyle w:val="Heading2"/>
        <w:spacing w:before="280" w:after="160"/>
      </w:pPr>
      <w:r>
        <w:rPr>
          <w:rFonts w:ascii="Arial" w:cs="Arial" w:eastAsia="Arial" w:hAnsi="Arial"/>
          <w:b/>
          <w:bCs/>
          <w:color w:val="2E5984"/>
          <w:sz w:val="24"/>
          <w:szCs w:val="24"/>
        </w:rPr>
        <w:t xml:space="preserve">7.3 System Architecture Outline</w:t>
      </w:r>
    </w:p>
    <w:p>
      <w:pPr>
        <w:spacing w:after="160"/>
      </w:pPr>
      <w:r>
        <w:rPr>
          <w:rFonts w:ascii="Arial" w:cs="Arial" w:eastAsia="Arial" w:hAnsi="Arial"/>
          <w:sz w:val="21"/>
          <w:szCs w:val="21"/>
        </w:rPr>
        <w:t xml:space="preserve">The system extends FunderMatch’s existing Supabase + Vite + React stack:</w:t>
      </w:r>
    </w:p>
    <w:p>
      <w:pPr>
        <w:pStyle w:val="Heading3"/>
        <w:spacing w:before="200" w:after="120"/>
      </w:pPr>
      <w:r>
        <w:rPr>
          <w:rFonts w:ascii="Arial" w:cs="Arial" w:eastAsia="Arial" w:hAnsi="Arial"/>
          <w:b/>
          <w:bCs/>
          <w:color w:val="3D7AB5"/>
          <w:sz w:val="22"/>
          <w:szCs w:val="22"/>
        </w:rPr>
        <w:t xml:space="preserve">Backend (Supabase)</w:t>
      </w:r>
    </w:p>
    <w:p>
      <w:pPr>
        <w:pStyle w:val="ListParagraph"/>
        <w:numPr>
          <w:ilvl w:val="0"/>
          <w:numId w:val="2"/>
        </w:numPr>
        <w:spacing w:after="80"/>
      </w:pPr>
      <w:r>
        <w:rPr>
          <w:rFonts w:ascii="Arial" w:cs="Arial" w:eastAsia="Arial" w:hAnsi="Arial"/>
          <w:sz w:val="21"/>
          <w:szCs w:val="21"/>
        </w:rPr>
        <w:t xml:space="preserve">PostgreSQL with pgvector extension for embedding storage and ANN search.</w:t>
      </w:r>
    </w:p>
    <w:p>
      <w:pPr>
        <w:pStyle w:val="ListParagraph"/>
        <w:numPr>
          <w:ilvl w:val="0"/>
          <w:numId w:val="2"/>
        </w:numPr>
        <w:spacing w:after="80"/>
      </w:pPr>
      <w:r>
        <w:rPr>
          <w:rFonts w:ascii="Arial" w:cs="Arial" w:eastAsia="Arial" w:hAnsi="Arial"/>
          <w:sz w:val="21"/>
          <w:szCs w:val="21"/>
        </w:rPr>
        <w:t xml:space="preserve">New tables: organizations, filings, grants, peer_scores, org_embeddings.</w:t>
      </w:r>
    </w:p>
    <w:p>
      <w:pPr>
        <w:pStyle w:val="ListParagraph"/>
        <w:numPr>
          <w:ilvl w:val="0"/>
          <w:numId w:val="2"/>
        </w:numPr>
        <w:spacing w:after="80"/>
      </w:pPr>
      <w:r>
        <w:rPr>
          <w:rFonts w:ascii="Arial" w:cs="Arial" w:eastAsia="Arial" w:hAnsi="Arial"/>
          <w:sz w:val="21"/>
          <w:szCs w:val="21"/>
        </w:rPr>
        <w:t xml:space="preserve">Row-level security policies: all 990 data is public (it’s tax-exempt data); user-specific data (saved peers, alerts) requires auth.</w:t>
      </w:r>
    </w:p>
    <w:p>
      <w:pPr>
        <w:pStyle w:val="ListParagraph"/>
        <w:numPr>
          <w:ilvl w:val="0"/>
          <w:numId w:val="2"/>
        </w:numPr>
        <w:spacing w:after="80"/>
      </w:pPr>
      <w:r>
        <w:rPr>
          <w:rFonts w:ascii="Arial" w:cs="Arial" w:eastAsia="Arial" w:hAnsi="Arial"/>
          <w:sz w:val="21"/>
          <w:szCs w:val="21"/>
        </w:rPr>
        <w:t xml:space="preserve">Edge functions: get-recipient-profile, get-funder-990-insights, compute-peers (on-demand), search-organizations.</w:t>
      </w:r>
    </w:p>
    <w:p>
      <w:pPr>
        <w:pStyle w:val="Heading3"/>
        <w:spacing w:before="200" w:after="120"/>
      </w:pPr>
      <w:r>
        <w:rPr>
          <w:rFonts w:ascii="Arial" w:cs="Arial" w:eastAsia="Arial" w:hAnsi="Arial"/>
          <w:b/>
          <w:bCs/>
          <w:color w:val="3D7AB5"/>
          <w:sz w:val="22"/>
          <w:szCs w:val="22"/>
        </w:rPr>
        <w:t xml:space="preserve">Data Pipeline (Off-Platform)</w:t>
      </w:r>
    </w:p>
    <w:p>
      <w:pPr>
        <w:pStyle w:val="ListParagraph"/>
        <w:numPr>
          <w:ilvl w:val="0"/>
          <w:numId w:val="2"/>
        </w:numPr>
        <w:spacing w:after="80"/>
      </w:pPr>
      <w:r>
        <w:rPr>
          <w:rFonts w:ascii="Arial" w:cs="Arial" w:eastAsia="Arial" w:hAnsi="Arial"/>
          <w:sz w:val="21"/>
          <w:szCs w:val="21"/>
        </w:rPr>
        <w:t xml:space="preserve">Scheduled worker (GitHub Actions or dedicated VM) runs daily to check for new IRS data.</w:t>
      </w:r>
    </w:p>
    <w:p>
      <w:pPr>
        <w:pStyle w:val="ListParagraph"/>
        <w:numPr>
          <w:ilvl w:val="0"/>
          <w:numId w:val="2"/>
        </w:numPr>
        <w:spacing w:after="80"/>
      </w:pPr>
      <w:r>
        <w:rPr>
          <w:rFonts w:ascii="Arial" w:cs="Arial" w:eastAsia="Arial" w:hAnsi="Arial"/>
          <w:sz w:val="21"/>
          <w:szCs w:val="21"/>
        </w:rPr>
        <w:t xml:space="preserve">Node.js pipeline: download → unzip → stream-parse XML → batch-insert to Supabase via pg client.</w:t>
      </w:r>
    </w:p>
    <w:p>
      <w:pPr>
        <w:pStyle w:val="ListParagraph"/>
        <w:numPr>
          <w:ilvl w:val="0"/>
          <w:numId w:val="2"/>
        </w:numPr>
        <w:spacing w:after="80"/>
      </w:pPr>
      <w:r>
        <w:rPr>
          <w:rFonts w:ascii="Arial" w:cs="Arial" w:eastAsia="Arial" w:hAnsi="Arial"/>
          <w:sz w:val="21"/>
          <w:szCs w:val="21"/>
        </w:rPr>
        <w:t xml:space="preserve">Entity resolution runs as a post-processing step after each batch insert.</w:t>
      </w:r>
    </w:p>
    <w:p>
      <w:pPr>
        <w:pStyle w:val="ListParagraph"/>
        <w:numPr>
          <w:ilvl w:val="0"/>
          <w:numId w:val="2"/>
        </w:numPr>
        <w:spacing w:after="80"/>
      </w:pPr>
      <w:r>
        <w:rPr>
          <w:rFonts w:ascii="Arial" w:cs="Arial" w:eastAsia="Arial" w:hAnsi="Arial"/>
          <w:sz w:val="21"/>
          <w:szCs w:val="21"/>
        </w:rPr>
        <w:t xml:space="preserve">Embedding generation: batch job calls OpenAI text-embedding-3-small for new/updated org mission texts.</w:t>
      </w:r>
    </w:p>
    <w:p>
      <w:pPr>
        <w:pStyle w:val="Heading3"/>
        <w:spacing w:before="200" w:after="120"/>
      </w:pPr>
      <w:r>
        <w:rPr>
          <w:rFonts w:ascii="Arial" w:cs="Arial" w:eastAsia="Arial" w:hAnsi="Arial"/>
          <w:b/>
          <w:bCs/>
          <w:color w:val="3D7AB5"/>
          <w:sz w:val="22"/>
          <w:szCs w:val="22"/>
        </w:rPr>
        <w:t xml:space="preserve">Frontend (React)</w:t>
      </w:r>
    </w:p>
    <w:p>
      <w:pPr>
        <w:pStyle w:val="ListParagraph"/>
        <w:numPr>
          <w:ilvl w:val="0"/>
          <w:numId w:val="2"/>
        </w:numPr>
        <w:spacing w:after="80"/>
      </w:pPr>
      <w:r>
        <w:rPr>
          <w:rFonts w:ascii="Arial" w:cs="Arial" w:eastAsia="Arial" w:hAnsi="Arial"/>
          <w:sz w:val="21"/>
          <w:szCs w:val="21"/>
        </w:rPr>
        <w:t xml:space="preserve">New pages: /recipient/:id (recipient profile), /search (org search with autocomplete).</w:t>
      </w:r>
    </w:p>
    <w:p>
      <w:pPr>
        <w:pStyle w:val="ListParagraph"/>
        <w:numPr>
          <w:ilvl w:val="0"/>
          <w:numId w:val="2"/>
        </w:numPr>
        <w:spacing w:after="80"/>
      </w:pPr>
      <w:r>
        <w:rPr>
          <w:rFonts w:ascii="Arial" w:cs="Arial" w:eastAsia="Arial" w:hAnsi="Arial"/>
          <w:sz w:val="21"/>
          <w:szCs w:val="21"/>
        </w:rPr>
        <w:t xml:space="preserve">Enhanced page: /funder/:id gains new sections (grant history, trends, charts).</w:t>
      </w:r>
    </w:p>
    <w:p>
      <w:pPr>
        <w:pStyle w:val="ListParagraph"/>
        <w:numPr>
          <w:ilvl w:val="0"/>
          <w:numId w:val="2"/>
        </w:numPr>
        <w:spacing w:after="80"/>
      </w:pPr>
      <w:r>
        <w:rPr>
          <w:rFonts w:ascii="Arial" w:cs="Arial" w:eastAsia="Arial" w:hAnsi="Arial"/>
          <w:sz w:val="21"/>
          <w:szCs w:val="21"/>
        </w:rPr>
        <w:t xml:space="preserve">Chart library: Recharts (already available in the React ecosystem; lightweight, composable).</w:t>
      </w:r>
    </w:p>
    <w:p>
      <w:pPr>
        <w:pStyle w:val="ListParagraph"/>
        <w:numPr>
          <w:ilvl w:val="0"/>
          <w:numId w:val="2"/>
        </w:numPr>
        <w:spacing w:after="80"/>
      </w:pPr>
      <w:r>
        <w:rPr>
          <w:rFonts w:ascii="Arial" w:cs="Arial" w:eastAsia="Arial" w:hAnsi="Arial"/>
          <w:sz w:val="21"/>
          <w:szCs w:val="21"/>
        </w:rPr>
        <w:t xml:space="preserve">Lazy loading: 990 data sections load on-demand to keep initial page load fast.</w:t>
      </w:r>
    </w:p>
    <w:p>
      <w:pPr>
        <w:pStyle w:val="Heading2"/>
        <w:spacing w:before="280" w:after="160"/>
      </w:pPr>
      <w:r>
        <w:rPr>
          <w:rFonts w:ascii="Arial" w:cs="Arial" w:eastAsia="Arial" w:hAnsi="Arial"/>
          <w:b/>
          <w:bCs/>
          <w:color w:val="2E5984"/>
          <w:sz w:val="24"/>
          <w:szCs w:val="24"/>
        </w:rPr>
        <w:t xml:space="preserve">7.4 Phased Roadmap</w:t>
      </w:r>
    </w:p>
    <w:p>
      <w:pPr>
        <w:pStyle w:val="Heading3"/>
        <w:spacing w:before="200" w:after="120"/>
      </w:pPr>
      <w:r>
        <w:rPr>
          <w:rFonts w:ascii="Arial" w:cs="Arial" w:eastAsia="Arial" w:hAnsi="Arial"/>
          <w:b/>
          <w:bCs/>
          <w:color w:val="3D7AB5"/>
          <w:sz w:val="22"/>
          <w:szCs w:val="22"/>
        </w:rPr>
        <w:t xml:space="preserve">Phase 1: Foundation (Weeks 1–8)</w:t>
      </w:r>
    </w:p>
    <w:p>
      <w:pPr>
        <w:spacing w:after="160"/>
      </w:pPr>
      <w:r>
        <w:rPr>
          <w:rFonts w:ascii="Arial" w:cs="Arial" w:eastAsia="Arial" w:hAnsi="Arial"/>
          <w:sz w:val="21"/>
          <w:szCs w:val="21"/>
        </w:rPr>
        <w:t xml:space="preserve">Goal: get 990 data into the database and expose it on existing funder profiles.</w:t>
      </w:r>
    </w:p>
    <w:p>
      <w:pPr>
        <w:pStyle w:val="ListParagraph"/>
        <w:numPr>
          <w:ilvl w:val="0"/>
          <w:numId w:val="2"/>
        </w:numPr>
        <w:spacing w:after="80"/>
      </w:pPr>
      <w:r>
        <w:rPr>
          <w:rFonts w:ascii="Arial" w:cs="Arial" w:eastAsia="Arial" w:hAnsi="Arial"/>
          <w:sz w:val="21"/>
          <w:szCs w:val="21"/>
        </w:rPr>
        <w:t xml:space="preserve">Week 1–2: Stand up pipeline infrastructure. Create Supabase tables and indexes.</w:t>
      </w:r>
    </w:p>
    <w:p>
      <w:pPr>
        <w:pStyle w:val="ListParagraph"/>
        <w:numPr>
          <w:ilvl w:val="0"/>
          <w:numId w:val="2"/>
        </w:numPr>
        <w:spacing w:after="80"/>
      </w:pPr>
      <w:r>
        <w:rPr>
          <w:rFonts w:ascii="Arial" w:cs="Arial" w:eastAsia="Arial" w:hAnsi="Arial"/>
          <w:sz w:val="21"/>
          <w:szCs w:val="21"/>
        </w:rPr>
        <w:t xml:space="preserve">Week 2–4: Build XML parser for 990-PF (richest grant data). Begin historical backfill.</w:t>
      </w:r>
    </w:p>
    <w:p>
      <w:pPr>
        <w:pStyle w:val="ListParagraph"/>
        <w:numPr>
          <w:ilvl w:val="0"/>
          <w:numId w:val="2"/>
        </w:numPr>
        <w:spacing w:after="80"/>
      </w:pPr>
      <w:r>
        <w:rPr>
          <w:rFonts w:ascii="Arial" w:cs="Arial" w:eastAsia="Arial" w:hAnsi="Arial"/>
          <w:sz w:val="21"/>
          <w:szCs w:val="21"/>
        </w:rPr>
        <w:t xml:space="preserve">Week 4–6: Entity resolution engine. ProPublica API integration for metadata enrichment.</w:t>
      </w:r>
    </w:p>
    <w:p>
      <w:pPr>
        <w:pStyle w:val="ListParagraph"/>
        <w:numPr>
          <w:ilvl w:val="0"/>
          <w:numId w:val="2"/>
        </w:numPr>
        <w:spacing w:after="80"/>
      </w:pPr>
      <w:r>
        <w:rPr>
          <w:rFonts w:ascii="Arial" w:cs="Arial" w:eastAsia="Arial" w:hAnsi="Arial"/>
          <w:sz w:val="21"/>
          <w:szCs w:val="21"/>
        </w:rPr>
        <w:t xml:space="preserve">Week 6–8: Enriched funder profile frontend: grant history table, giving trends chart, new/repeat analysis.</w:t>
      </w:r>
    </w:p>
    <w:p>
      <w:pPr>
        <w:spacing w:after="160"/>
      </w:pPr>
      <w:r>
        <w:rPr>
          <w:rFonts w:ascii="Arial" w:cs="Arial" w:eastAsia="Arial" w:hAnsi="Arial"/>
          <w:b/>
          <w:bCs/>
          <w:sz w:val="21"/>
          <w:szCs w:val="21"/>
        </w:rPr>
        <w:t xml:space="preserve">Milestone: </w:t>
      </w:r>
      <w:r>
        <w:rPr>
          <w:rFonts w:ascii="Arial" w:cs="Arial" w:eastAsia="Arial" w:hAnsi="Arial"/>
          <w:sz w:val="21"/>
          <w:szCs w:val="21"/>
        </w:rPr>
        <w:t xml:space="preserve">Every funder in the database shows structured 990 grant history on their profile page.</w:t>
      </w:r>
    </w:p>
    <w:p>
      <w:pPr>
        <w:pStyle w:val="Heading3"/>
        <w:spacing w:before="200" w:after="120"/>
      </w:pPr>
      <w:r>
        <w:rPr>
          <w:rFonts w:ascii="Arial" w:cs="Arial" w:eastAsia="Arial" w:hAnsi="Arial"/>
          <w:b/>
          <w:bCs/>
          <w:color w:val="3D7AB5"/>
          <w:sz w:val="22"/>
          <w:szCs w:val="22"/>
        </w:rPr>
        <w:t xml:space="preserve">Phase 2: Recipient Intelligence (Weeks 9–14)</w:t>
      </w:r>
    </w:p>
    <w:p>
      <w:pPr>
        <w:spacing w:after="160"/>
      </w:pPr>
      <w:r>
        <w:rPr>
          <w:rFonts w:ascii="Arial" w:cs="Arial" w:eastAsia="Arial" w:hAnsi="Arial"/>
          <w:sz w:val="21"/>
          <w:szCs w:val="21"/>
        </w:rPr>
        <w:t xml:space="preserve">Goal: launch recipient profiles and reverse search.</w:t>
      </w:r>
    </w:p>
    <w:p>
      <w:pPr>
        <w:pStyle w:val="ListParagraph"/>
        <w:numPr>
          <w:ilvl w:val="0"/>
          <w:numId w:val="2"/>
        </w:numPr>
        <w:spacing w:after="80"/>
      </w:pPr>
      <w:r>
        <w:rPr>
          <w:rFonts w:ascii="Arial" w:cs="Arial" w:eastAsia="Arial" w:hAnsi="Arial"/>
          <w:sz w:val="21"/>
          <w:szCs w:val="21"/>
        </w:rPr>
        <w:t xml:space="preserve">Week 9–10: Organization search endpoint with autocomplete. Search UI component.</w:t>
      </w:r>
    </w:p>
    <w:p>
      <w:pPr>
        <w:pStyle w:val="ListParagraph"/>
        <w:numPr>
          <w:ilvl w:val="0"/>
          <w:numId w:val="2"/>
        </w:numPr>
        <w:spacing w:after="80"/>
      </w:pPr>
      <w:r>
        <w:rPr>
          <w:rFonts w:ascii="Arial" w:cs="Arial" w:eastAsia="Arial" w:hAnsi="Arial"/>
          <w:sz w:val="21"/>
          <w:szCs w:val="21"/>
        </w:rPr>
        <w:t xml:space="preserve">Week 10–12: Recipient profile page: funding history, top funders, trends.</w:t>
      </w:r>
    </w:p>
    <w:p>
      <w:pPr>
        <w:pStyle w:val="ListParagraph"/>
        <w:numPr>
          <w:ilvl w:val="0"/>
          <w:numId w:val="2"/>
        </w:numPr>
        <w:spacing w:after="80"/>
      </w:pPr>
      <w:r>
        <w:rPr>
          <w:rFonts w:ascii="Arial" w:cs="Arial" w:eastAsia="Arial" w:hAnsi="Arial"/>
          <w:sz w:val="21"/>
          <w:szCs w:val="21"/>
        </w:rPr>
        <w:t xml:space="preserve">Week 12–14: Cross-linking between funder and recipient profiles. Network navigation breadcrumbs.</w:t>
      </w:r>
    </w:p>
    <w:p>
      <w:pPr>
        <w:spacing w:after="160"/>
      </w:pPr>
      <w:r>
        <w:rPr>
          <w:rFonts w:ascii="Arial" w:cs="Arial" w:eastAsia="Arial" w:hAnsi="Arial"/>
          <w:b/>
          <w:bCs/>
          <w:sz w:val="21"/>
          <w:szCs w:val="21"/>
        </w:rPr>
        <w:t xml:space="preserve">Milestone: </w:t>
      </w:r>
      <w:r>
        <w:rPr>
          <w:rFonts w:ascii="Arial" w:cs="Arial" w:eastAsia="Arial" w:hAnsi="Arial"/>
          <w:sz w:val="21"/>
          <w:szCs w:val="21"/>
        </w:rPr>
        <w:t xml:space="preserve">Users can search for any nonprofit and see who funds it, then click through to funder profiles and back.</w:t>
      </w:r>
    </w:p>
    <w:p>
      <w:pPr>
        <w:pStyle w:val="Heading3"/>
        <w:spacing w:before="200" w:after="120"/>
      </w:pPr>
      <w:r>
        <w:rPr>
          <w:rFonts w:ascii="Arial" w:cs="Arial" w:eastAsia="Arial" w:hAnsi="Arial"/>
          <w:b/>
          <w:bCs/>
          <w:color w:val="3D7AB5"/>
          <w:sz w:val="22"/>
          <w:szCs w:val="22"/>
        </w:rPr>
        <w:t xml:space="preserve">Phase 3: Peer Matching &amp; AI Enhancement (Weeks 15–20)</w:t>
      </w:r>
    </w:p>
    <w:p>
      <w:pPr>
        <w:spacing w:after="160"/>
      </w:pPr>
      <w:r>
        <w:rPr>
          <w:rFonts w:ascii="Arial" w:cs="Arial" w:eastAsia="Arial" w:hAnsi="Arial"/>
          <w:sz w:val="21"/>
          <w:szCs w:val="21"/>
        </w:rPr>
        <w:t xml:space="preserve">Goal: algorithmic peer matching with AI integration.</w:t>
      </w:r>
    </w:p>
    <w:p>
      <w:pPr>
        <w:pStyle w:val="ListParagraph"/>
        <w:numPr>
          <w:ilvl w:val="0"/>
          <w:numId w:val="2"/>
        </w:numPr>
        <w:spacing w:after="80"/>
      </w:pPr>
      <w:r>
        <w:rPr>
          <w:rFonts w:ascii="Arial" w:cs="Arial" w:eastAsia="Arial" w:hAnsi="Arial"/>
          <w:sz w:val="21"/>
          <w:szCs w:val="21"/>
        </w:rPr>
        <w:t xml:space="preserve">Week 15–16: Generate mission embeddings for all orgs. Build peer scoring algorithm.</w:t>
      </w:r>
    </w:p>
    <w:p>
      <w:pPr>
        <w:pStyle w:val="ListParagraph"/>
        <w:numPr>
          <w:ilvl w:val="0"/>
          <w:numId w:val="2"/>
        </w:numPr>
        <w:spacing w:after="80"/>
      </w:pPr>
      <w:r>
        <w:rPr>
          <w:rFonts w:ascii="Arial" w:cs="Arial" w:eastAsia="Arial" w:hAnsi="Arial"/>
          <w:sz w:val="21"/>
          <w:szCs w:val="21"/>
        </w:rPr>
        <w:t xml:space="preserve">Week 17–18: Precompute peer scores for top 50K orgs. On-demand peer computation for long tail.</w:t>
      </w:r>
    </w:p>
    <w:p>
      <w:pPr>
        <w:pStyle w:val="ListParagraph"/>
        <w:numPr>
          <w:ilvl w:val="0"/>
          <w:numId w:val="2"/>
        </w:numPr>
        <w:spacing w:after="80"/>
      </w:pPr>
      <w:r>
        <w:rPr>
          <w:rFonts w:ascii="Arial" w:cs="Arial" w:eastAsia="Arial" w:hAnsi="Arial"/>
          <w:sz w:val="21"/>
          <w:szCs w:val="21"/>
        </w:rPr>
        <w:t xml:space="preserve">Week 18–19: Peer tracking lists UI. Alert system for new peer funding events.</w:t>
      </w:r>
    </w:p>
    <w:p>
      <w:pPr>
        <w:pStyle w:val="ListParagraph"/>
        <w:numPr>
          <w:ilvl w:val="0"/>
          <w:numId w:val="2"/>
        </w:numPr>
        <w:spacing w:after="80"/>
      </w:pPr>
      <w:r>
        <w:rPr>
          <w:rFonts w:ascii="Arial" w:cs="Arial" w:eastAsia="Arial" w:hAnsi="Arial"/>
          <w:sz w:val="21"/>
          <w:szCs w:val="21"/>
        </w:rPr>
        <w:t xml:space="preserve">Week 19–20: Inject 990 signals into Claude matching prompt. Validate AI grantee suggestions against real data.</w:t>
      </w:r>
    </w:p>
    <w:p>
      <w:pPr>
        <w:spacing w:after="160"/>
      </w:pPr>
      <w:r>
        <w:rPr>
          <w:rFonts w:ascii="Arial" w:cs="Arial" w:eastAsia="Arial" w:hAnsi="Arial"/>
          <w:b/>
          <w:bCs/>
          <w:sz w:val="21"/>
          <w:szCs w:val="21"/>
        </w:rPr>
        <w:t xml:space="preserve">Milestone: </w:t>
      </w:r>
      <w:r>
        <w:rPr>
          <w:rFonts w:ascii="Arial" w:cs="Arial" w:eastAsia="Arial" w:hAnsi="Arial"/>
          <w:sz w:val="21"/>
          <w:szCs w:val="21"/>
        </w:rPr>
        <w:t xml:space="preserve">Full parity with Instrumentl’s peer prospecting, plus AI-enhanced matching that Instrumentl cannot replicate.</w:t>
      </w:r>
    </w:p>
    <w:p>
      <w:r>
        <w:br w:type="page"/>
      </w:r>
    </w:p>
    <w:p>
      <w:pPr>
        <w:pStyle w:val="Heading2"/>
        <w:spacing w:before="280" w:after="160"/>
      </w:pPr>
      <w:r>
        <w:rPr>
          <w:rFonts w:ascii="Arial" w:cs="Arial" w:eastAsia="Arial" w:hAnsi="Arial"/>
          <w:b/>
          <w:bCs/>
          <w:color w:val="2E5984"/>
          <w:sz w:val="24"/>
          <w:szCs w:val="24"/>
        </w:rPr>
        <w:t xml:space="preserve">7.5 Key Risks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 data freshness lag: filings can be 12–18 months behind current 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Supplement with ProPublica API which processes filings faster; clearly label data currency on UI; combine with real-time grant announcement scraping in future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990 XML schema variability across tax years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Build schema-version-aware parser with per-year field mappings; maintain a test suite of sample filings per schema version; allocate 20% parser maintenance budget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resolution errors (false matches/splits)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 matching (high-precision Tier 1–2 only for public display); low-confidence matches flagged but hidden; manual review queue for edge cases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Storage and compute costs at scale (45M+ grant records)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 partitioning by tax_year on grants table; materialized views for common aggregations; consider read replica if query load exceeds single-instance capacity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 building full Instrumentl clone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phase gating. Ship Phase 1 before designing Phase 3 details. Each phase must deliver standalone user value</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Embedding cost (OpenAI API) for 1.8M+ orgs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text-embedding-3-small is $0.02/1M tokens; estimated one-time cost: ~$50–100 for full corpus; incremental cost negligible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confusion: too much data on profile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disclosure: show summary metrics by default, expandable sections for detail; user research after Phase 1 to validate information hierarchy</w:t>
            </w:r>
          </w:p>
        </w:tc>
      </w:tr>
    </w:tbl>
    <w:p>
      <w:pPr>
        <w:spacing w:after="200"/>
      </w:pPr>
    </w:p>
    <w:p>
      <w:pPr>
        <w:pStyle w:val="Heading1"/>
        <w:spacing w:before="360" w:after="200"/>
      </w:pPr>
      <w:r>
        <w:rPr>
          <w:rFonts w:ascii="Arial" w:cs="Arial" w:eastAsia="Arial" w:hAnsi="Arial"/>
          <w:b/>
          <w:bCs/>
          <w:color w:val="1B3A5C"/>
          <w:sz w:val="28"/>
          <w:szCs w:val="28"/>
        </w:rPr>
        <w:t xml:space="preserve">8. Recommendation</w:t>
      </w:r>
    </w:p>
    <w:p>
      <w:pPr>
        <w:spacing w:after="160"/>
      </w:pPr>
      <w:r>
        <w:rPr>
          <w:rFonts w:ascii="Arial" w:cs="Arial" w:eastAsia="Arial" w:hAnsi="Arial"/>
          <w:sz w:val="21"/>
          <w:szCs w:val="21"/>
        </w:rPr>
        <w:t xml:space="preserve">The Peer Comparison &amp; 990 Intelligence gap is the single largest functional delta between FunderMatch and Instrumentl. Closing it transforms FunderMatch from a mission-matching tool into a full-stack funder intelligence platform. The proposed architecture leverages our existing Supabase infrastructure and our unique AI matching capability to deliver a product that is not just equivalent to Instrumentl’s 990 features, but meaningfully differentiated by combining structured data with AI-powered insight.</w:t>
      </w:r>
    </w:p>
    <w:p>
      <w:pPr>
        <w:spacing w:after="160"/>
      </w:pPr>
      <w:r>
        <w:rPr>
          <w:rFonts w:ascii="Arial" w:cs="Arial" w:eastAsia="Arial" w:hAnsi="Arial"/>
          <w:sz w:val="21"/>
          <w:szCs w:val="21"/>
        </w:rPr>
        <w:t xml:space="preserve">We recommend committing to Phases 1 and 2 (16 weeks) immediately, with Phase 3 contingent on Phase 1 user adoption metrics. This delivers the highest-impact features—enriched funder profiles and reverse search—within one quarter, while keeping the peer matching investment gated behind validated demand.</w:t>
      </w:r>
    </w:p>
    <w:p>
      <w:pPr>
        <w:spacing w:after="160"/>
      </w:pPr>
      <w:r>
        <w:rPr>
          <w:rFonts w:ascii="Arial" w:cs="Arial" w:eastAsia="Arial" w:hAnsi="Arial"/>
          <w:sz w:val="21"/>
          <w:szCs w:val="21"/>
        </w:rPr>
        <w:t xml:space="preserve">Next step: leadership review of this memo, followed by a decision on which features to greenlight for implementation. Engineering is ready to begin Phase 1 sprint planning upon approval.</w:t>
      </w:r>
    </w:p>
    <w:p>
      <w:pPr>
        <w:pBdr>
          <w:top w:val="single" w:color="1B3A5C" w:sz="4" w:space="8"/>
        </w:pBdr>
        <w:spacing w:after="60"/>
      </w:pPr>
    </w:p>
    <w:p>
      <w:pPr>
        <w:spacing w:after="0"/>
        <w:jc w:val="center"/>
      </w:pPr>
      <w:r>
        <w:rPr>
          <w:rFonts w:ascii="Arial" w:cs="Arial" w:eastAsia="Arial" w:hAnsi="Arial"/>
          <w:i/>
          <w:iCs/>
          <w:color w:val="999999"/>
          <w:sz w:val="20"/>
          <w:szCs w:val="20"/>
        </w:rPr>
        <w:t xml:space="preserve">End of Memo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FunderMatch  ·  Peer Comparison &amp; 990 Intelligence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984"/>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2026-03-12T18:22:06.427Z</dcterms:created>
  <dcterms:modified xsi:type="dcterms:W3CDTF">2026-03-12T18:22:06.428Z</dcterms:modified>
</cp:coreProperties>
</file>

<file path=docProps/custom.xml><?xml version="1.0" encoding="utf-8"?>
<Properties xmlns="http://schemas.openxmlformats.org/officeDocument/2006/custom-properties" xmlns:vt="http://schemas.openxmlformats.org/officeDocument/2006/docPropsVTypes"/>
</file>