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2"/>
        <w:gridCol w:w="3429"/>
        <w:gridCol w:w="1282"/>
        <w:gridCol w:w="1348"/>
        <w:gridCol w:w="1413"/>
      </w:tblGrid>
      <w:tr>
        <w:tc>
          <w:tcPr>
            <w:tcW w:type="dxa" w:w="1023"/>
            <w:tcBorders>
              <w:bottom w:val="single" w:sz="12" w:space="4" w:color="16181D"/>
            </w:tcBorders>
          </w:tcPr>
          <w:p>
            <w:pPr>
              <w:spacing w:after="60"/>
            </w:pPr>
            <w:r/>
            <w:r>
              <w:rPr>
                <w:rFonts w:ascii="Calibri" w:hAnsi="Calibri"/>
                <w:b/>
                <w:caps/>
                <w:color w:val="5C6370"/>
                <w:sz w:val="15"/>
              </w:rPr>
              <w:t>§</w:t>
            </w:r>
          </w:p>
        </w:tc>
        <w:tc>
          <w:tcPr>
            <w:tcW w:type="dxa" w:w="3429"/>
            <w:tcBorders>
              <w:bottom w:val="single" w:sz="12" w:space="4" w:color="16181D"/>
            </w:tcBorders>
          </w:tcPr>
          <w:p>
            <w:pPr>
              <w:spacing w:after="60"/>
            </w:pPr>
            <w:r/>
            <w:r>
              <w:rPr>
                <w:rFonts w:ascii="Calibri" w:hAnsi="Calibri"/>
                <w:b/>
                <w:caps/>
                <w:color w:val="5C6370"/>
                <w:sz w:val="15"/>
              </w:rPr>
              <w:t>Section</w:t>
            </w:r>
          </w:p>
        </w:tc>
        <w:tc>
          <w:tcPr>
            <w:tcW w:type="dxa" w:w="1283"/>
            <w:tcBorders>
              <w:bottom w:val="single" w:sz="12" w:space="4" w:color="16181D"/>
            </w:tcBorders>
          </w:tcPr>
          <w:p>
            <w:pPr>
              <w:spacing w:after="60"/>
            </w:pPr>
            <w:r/>
            <w:r>
              <w:rPr>
                <w:rFonts w:ascii="Calibri" w:hAnsi="Calibri"/>
                <w:b/>
                <w:caps/>
                <w:color w:val="5C6370"/>
                <w:sz w:val="15"/>
              </w:rPr>
              <w:t>Status</w:t>
            </w:r>
          </w:p>
        </w:tc>
        <w:tc>
          <w:tcPr>
            <w:tcW w:type="dxa" w:w="1348"/>
            <w:tcBorders>
              <w:bottom w:val="single" w:sz="12" w:space="4" w:color="16181D"/>
            </w:tcBorders>
          </w:tcPr>
          <w:p>
            <w:pPr>
              <w:spacing w:after="60"/>
            </w:pPr>
            <w:r/>
            <w:r>
              <w:rPr>
                <w:rFonts w:ascii="Calibri" w:hAnsi="Calibri"/>
                <w:b/>
                <w:caps/>
                <w:color w:val="5C6370"/>
                <w:sz w:val="15"/>
              </w:rPr>
              <w:t>Grade</w:t>
            </w:r>
          </w:p>
        </w:tc>
        <w:tc>
          <w:tcPr>
            <w:tcW w:type="dxa" w:w="1413"/>
            <w:tcBorders>
              <w:bottom w:val="single" w:sz="12" w:space="4" w:color="16181D"/>
            </w:tcBorders>
          </w:tcPr>
          <w:p>
            <w:pPr>
              <w:spacing w:after="60"/>
            </w:pPr>
            <w:r/>
            <w:r>
              <w:rPr>
                <w:rFonts w:ascii="Calibri" w:hAnsi="Calibri"/>
                <w:b/>
                <w:caps/>
                <w:color w:val="5C6370"/>
                <w:sz w:val="15"/>
              </w:rPr>
              <w:t>Blocking</w:t>
            </w:r>
          </w:p>
        </w:tc>
      </w:tr>
      <w:tr>
        <w:tc>
          <w:tcPr>
            <w:tcW w:type="dxa" w:w="1023"/>
            <w:tcBorders>
              <w:bottom w:val="single" w:sz="6" w:space="4" w:color="D8DCE3"/>
            </w:tcBorders>
          </w:tcPr>
          <w:p>
            <w:pPr>
              <w:spacing w:after="60"/>
            </w:pPr>
            <w:r/>
            <w:r>
              <w:rPr>
                <w:rFonts w:ascii="Georgia" w:hAnsi="Georgia"/>
                <w:sz w:val="18"/>
              </w:rPr>
              <w:t>1</w:t>
            </w:r>
          </w:p>
        </w:tc>
        <w:tc>
          <w:tcPr>
            <w:tcW w:type="dxa" w:w="3429"/>
            <w:tcBorders>
              <w:bottom w:val="single" w:sz="6" w:space="4" w:color="D8DCE3"/>
            </w:tcBorders>
          </w:tcPr>
          <w:p>
            <w:pPr>
              <w:spacing w:after="60"/>
            </w:pPr>
            <w:r/>
            <w:r>
              <w:rPr>
                <w:rFonts w:ascii="Georgia" w:hAnsi="Georgia"/>
                <w:sz w:val="18"/>
              </w:rPr>
              <w:t>Problem and opportunity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71/100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2</w:t>
            </w:r>
          </w:p>
        </w:tc>
        <w:tc>
          <w:tcPr>
            <w:tcW w:type="dxa" w:w="3429"/>
            <w:tcBorders>
              <w:bottom w:val="single" w:sz="6" w:space="4" w:color="D8DCE3"/>
            </w:tcBorders>
          </w:tcPr>
          <w:p>
            <w:pPr>
              <w:spacing w:after="60"/>
            </w:pPr>
            <w:r/>
            <w:r>
              <w:rPr>
                <w:rFonts w:ascii="Georgia" w:hAnsi="Georgia"/>
                <w:sz w:val="18"/>
              </w:rPr>
              <w:t>Target customer and market</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55/100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3</w:t>
            </w:r>
          </w:p>
        </w:tc>
        <w:tc>
          <w:tcPr>
            <w:tcW w:type="dxa" w:w="3429"/>
            <w:tcBorders>
              <w:bottom w:val="single" w:sz="6" w:space="4" w:color="D8DCE3"/>
            </w:tcBorders>
          </w:tcPr>
          <w:p>
            <w:pPr>
              <w:spacing w:after="60"/>
            </w:pPr>
            <w:r/>
            <w:r>
              <w:rPr>
                <w:rFonts w:ascii="Georgia" w:hAnsi="Georgia"/>
                <w:sz w:val="18"/>
              </w:rPr>
              <w:t>Business objectives and success metrics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4</w:t>
            </w:r>
          </w:p>
        </w:tc>
        <w:tc>
          <w:tcPr>
            <w:tcW w:type="dxa" w:w="3429"/>
            <w:tcBorders>
              <w:bottom w:val="single" w:sz="6" w:space="4" w:color="D8DCE3"/>
            </w:tcBorders>
          </w:tcPr>
          <w:p>
            <w:pPr>
              <w:spacing w:after="60"/>
            </w:pPr>
            <w:r/>
            <w:r>
              <w:rPr>
                <w:rFonts w:ascii="Georgia" w:hAnsi="Georgia"/>
                <w:sz w:val="18"/>
              </w:rPr>
              <w:t>Users and personas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User journeys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77/100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Scenarios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6</w:t>
            </w:r>
          </w:p>
        </w:tc>
        <w:tc>
          <w:tcPr>
            <w:tcW w:type="dxa" w:w="3429"/>
            <w:tcBorders>
              <w:bottom w:val="single" w:sz="6" w:space="4" w:color="D8DCE3"/>
            </w:tcBorders>
          </w:tcPr>
          <w:p>
            <w:pPr>
              <w:spacing w:after="60"/>
            </w:pPr>
            <w:r/>
            <w:r>
              <w:rPr>
                <w:rFonts w:ascii="Georgia" w:hAnsi="Georgia"/>
                <w:sz w:val="18"/>
              </w:rPr>
              <w:t>Scope</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81/100</w:t>
            </w:r>
          </w:p>
        </w:tc>
        <w:tc>
          <w:tcPr>
            <w:tcW w:type="dxa" w:w="1413"/>
            <w:tcBorders>
              <w:bottom w:val="single" w:sz="6" w:space="4" w:color="D8DCE3"/>
            </w:tcBorders>
          </w:tcPr>
          <w:p>
            <w:pPr>
              <w:spacing w:after="60"/>
            </w:pPr>
            <w:r/>
            <w:r>
              <w:rPr>
                <w:rFonts w:ascii="Georgia" w:hAnsi="Georgia"/>
                <w:sz w:val="18"/>
              </w:rPr>
              <w:t>1</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Wireframes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84/100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8</w:t>
            </w:r>
          </w:p>
        </w:tc>
        <w:tc>
          <w:tcPr>
            <w:tcW w:type="dxa" w:w="3429"/>
            <w:tcBorders>
              <w:bottom w:val="single" w:sz="6" w:space="4" w:color="D8DCE3"/>
            </w:tcBorders>
          </w:tcPr>
          <w:p>
            <w:pPr>
              <w:spacing w:after="60"/>
            </w:pPr>
            <w:r/>
            <w:r>
              <w:rPr>
                <w:rFonts w:ascii="Georgia" w:hAnsi="Georgia"/>
                <w:sz w:val="18"/>
              </w:rPr>
              <w:t>Non-functional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82/100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9</w:t>
            </w:r>
          </w:p>
        </w:tc>
        <w:tc>
          <w:tcPr>
            <w:tcW w:type="dxa" w:w="3429"/>
            <w:tcBorders>
              <w:bottom w:val="single" w:sz="6" w:space="4" w:color="D8DCE3"/>
            </w:tcBorders>
          </w:tcPr>
          <w:p>
            <w:pPr>
              <w:spacing w:after="60"/>
            </w:pPr>
            <w:r/>
            <w:r>
              <w:rPr>
                <w:rFonts w:ascii="Georgia" w:hAnsi="Georgia"/>
                <w:sz w:val="18"/>
              </w:rPr>
              <w:t>Constraints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100/100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10</w:t>
            </w:r>
          </w:p>
        </w:tc>
        <w:tc>
          <w:tcPr>
            <w:tcW w:type="dxa" w:w="3429"/>
            <w:tcBorders>
              <w:bottom w:val="single" w:sz="6" w:space="4" w:color="D8DCE3"/>
            </w:tcBorders>
          </w:tcPr>
          <w:p>
            <w:pPr>
              <w:spacing w:after="60"/>
            </w:pPr>
            <w:r/>
            <w:r>
              <w:rPr>
                <w:rFonts w:ascii="Georgia" w:hAnsi="Georgia"/>
                <w:sz w:val="18"/>
              </w:rPr>
              <w:t>Decision rights and trust rules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11</w:t>
            </w:r>
          </w:p>
        </w:tc>
        <w:tc>
          <w:tcPr>
            <w:tcW w:type="dxa" w:w="3429"/>
            <w:tcBorders>
              <w:bottom w:val="single" w:sz="6" w:space="4" w:color="D8DCE3"/>
            </w:tcBorders>
          </w:tcPr>
          <w:p>
            <w:pPr>
              <w:spacing w:after="60"/>
            </w:pPr>
            <w:r/>
            <w:r>
              <w:rPr>
                <w:rFonts w:ascii="Georgia" w:hAnsi="Georgia"/>
                <w:sz w:val="18"/>
              </w:rPr>
              <w:t>Assumptions, risks and dependencies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12</w:t>
            </w:r>
          </w:p>
        </w:tc>
        <w:tc>
          <w:tcPr>
            <w:tcW w:type="dxa" w:w="3429"/>
            <w:tcBorders>
              <w:bottom w:val="single" w:sz="6" w:space="4" w:color="D8DCE3"/>
            </w:tcBorders>
          </w:tcPr>
          <w:p>
            <w:pPr>
              <w:spacing w:after="60"/>
            </w:pPr>
            <w:r/>
            <w:r>
              <w:rPr>
                <w:rFonts w:ascii="Georgia" w:hAnsi="Georgia"/>
                <w:sz w:val="18"/>
              </w:rPr>
              <w:t>Open questions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13</w:t>
            </w:r>
          </w:p>
        </w:tc>
        <w:tc>
          <w:tcPr>
            <w:tcW w:type="dxa" w:w="3429"/>
            <w:tcBorders>
              <w:bottom w:val="single" w:sz="6" w:space="4" w:color="D8DCE3"/>
            </w:tcBorders>
          </w:tcPr>
          <w:p>
            <w:pPr>
              <w:spacing w:after="60"/>
            </w:pPr>
            <w:r/>
            <w:r>
              <w:rPr>
                <w:rFonts w:ascii="Georgia" w:hAnsi="Georgia"/>
                <w:sz w:val="18"/>
              </w:rPr>
              <w:t>Release plan</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14</w:t>
            </w:r>
          </w:p>
        </w:tc>
        <w:tc>
          <w:tcPr>
            <w:tcW w:type="dxa" w:w="3429"/>
            <w:tcBorders>
              <w:bottom w:val="single" w:sz="6" w:space="4" w:color="D8DCE3"/>
            </w:tcBorders>
          </w:tcPr>
          <w:p>
            <w:pPr>
              <w:spacing w:after="60"/>
            </w:pPr>
            <w:r/>
            <w:r>
              <w:rPr>
                <w:rFonts w:ascii="Georgia" w:hAnsi="Georgia"/>
                <w:sz w:val="18"/>
              </w:rPr>
              <w:t>Glossary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55/100</w:t>
            </w:r>
          </w:p>
        </w:tc>
        <w:tc>
          <w:tcPr>
            <w:tcW w:type="dxa" w:w="1413"/>
            <w:tcBorders>
              <w:bottom w:val="single" w:sz="6" w:space="4" w:color="D8DCE3"/>
            </w:tcBorders>
          </w:tcPr>
          <w:p>
            <w:pPr>
              <w:spacing w:after="60"/>
            </w:pPr>
            <w:r/>
            <w:r>
              <w:rPr>
                <w:rFonts w:ascii="Georgia" w:hAnsi="Georgia"/>
                <w:sz w:val="18"/>
              </w:rPr>
              <w:t>1</w:t>
            </w:r>
          </w:p>
        </w:tc>
      </w:tr>
      <w:tr>
        <w:tc>
          <w:tcPr>
            <w:tcW w:type="dxa" w:w="1023"/>
            <w:tcBorders>
              <w:bottom w:val="single" w:sz="6" w:space="4" w:color="D8DCE3"/>
            </w:tcBorders>
          </w:tcPr>
          <w:p>
            <w:pPr>
              <w:spacing w:after="60"/>
            </w:pPr>
            <w:r/>
            <w:r>
              <w:rPr>
                <w:rFonts w:ascii="Georgia" w:hAnsi="Georgia"/>
                <w:sz w:val="18"/>
              </w:rPr>
              <w:t>15</w:t>
            </w:r>
          </w:p>
        </w:tc>
        <w:tc>
          <w:tcPr>
            <w:tcW w:type="dxa" w:w="3429"/>
            <w:tcBorders>
              <w:bottom w:val="single" w:sz="6" w:space="4" w:color="D8DCE3"/>
            </w:tcBorders>
          </w:tcPr>
          <w:p>
            <w:pPr>
              <w:spacing w:after="60"/>
            </w:pPr>
            <w:r/>
            <w:r>
              <w:rPr>
                <w:rFonts w:ascii="Georgia" w:hAnsi="Georgia"/>
                <w:sz w:val="18"/>
              </w:rPr>
              <w:t>Change log and approvals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Three of the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Specifications arriving at delivery teams are commonly feature lists; teams report re-deriving the user and the acceptance criteria themselves before they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55/100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77/100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buildability report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 builder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 builder would read it; Sees what a builder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 builder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its buildability report,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buildability report,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its buildability report</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3873499"/>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specification.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 builder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9C2B2B"/>
          <w:sz w:val="15"/>
        </w:rPr>
        <w:t>draft · 81/100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18 are </w:t>
      </w:r>
      <w:r>
        <w:rPr>
          <w:rFonts w:ascii="Consolas" w:hAnsi="Consolas"/>
          <w:sz w:val="19"/>
        </w:rPr>
        <w:t>must</w:t>
      </w:r>
      <w:r>
        <w:rPr>
          <w:rFonts w:ascii="Georgia" w:hAnsi="Georgia"/>
        </w:rPr>
        <w:t xml:space="preserve">: without any one of them, REL-001 does not do what it promises. The eight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FR-010 also waits on Q-007, whether the working order is right and how looping back to the journeys feels, because Q-007 blocks ST-004. FR-013 waits on Q-005, whether a sponsor accepts a specification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"a table row"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a field the section needs still unfillable,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 and no id, priority or link is stated two different ways in the set.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every item is shown in a sentence or in a table row under named column headings, and no item is shown only as a bare list of names and values.</w:t>
            </w:r>
          </w:p>
          <w:p>
            <w:pPr>
              <w:spacing w:after="40"/>
              <w:ind w:left="173"/>
            </w:pPr>
            <w:r>
              <w:rPr>
                <w:rFonts w:ascii="Georgia" w:hAnsi="Georgia"/>
                <w:sz w:val="19"/>
              </w:rPr>
              <w:t>• Given an id, priority or link that two places in the set state differently, when the section is read, then the expert is told of the difference rather than it being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84/100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100/100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decision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4528147"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That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3"/>
        <w:gridCol w:w="2942"/>
        <w:gridCol w:w="1302"/>
        <w:gridCol w:w="1234"/>
        <w:gridCol w:w="1952"/>
      </w:tblGrid>
      <w:tr>
        <w:tc>
          <w:tcPr>
            <w:tcW w:type="dxa" w:w="1064"/>
            <w:tcBorders>
              <w:bottom w:val="single" w:sz="12" w:space="4" w:color="16181D"/>
            </w:tcBorders>
          </w:tcPr>
          <w:p>
            <w:pPr>
              <w:spacing w:after="60"/>
            </w:pPr>
            <w:r/>
            <w:r>
              <w:rPr>
                <w:rFonts w:ascii="Calibri" w:hAnsi="Calibri"/>
                <w:b/>
                <w:caps/>
                <w:color w:val="5C6370"/>
                <w:sz w:val="15"/>
              </w:rPr>
              <w:t>ID</w:t>
            </w:r>
          </w:p>
        </w:tc>
        <w:tc>
          <w:tcPr>
            <w:tcW w:type="dxa" w:w="2943"/>
            <w:tcBorders>
              <w:bottom w:val="single" w:sz="12" w:space="4" w:color="16181D"/>
            </w:tcBorders>
          </w:tcPr>
          <w:p>
            <w:pPr>
              <w:spacing w:after="60"/>
            </w:pPr>
            <w:r/>
            <w:r>
              <w:rPr>
                <w:rFonts w:ascii="Calibri" w:hAnsi="Calibri"/>
                <w:b/>
                <w:caps/>
                <w:color w:val="5C6370"/>
                <w:sz w:val="15"/>
              </w:rPr>
              <w:t>Question</w:t>
            </w:r>
          </w:p>
        </w:tc>
        <w:tc>
          <w:tcPr>
            <w:tcW w:type="dxa" w:w="1303"/>
            <w:tcBorders>
              <w:bottom w:val="single" w:sz="12" w:space="4" w:color="16181D"/>
            </w:tcBorders>
          </w:tcPr>
          <w:p>
            <w:pPr>
              <w:spacing w:after="60"/>
            </w:pPr>
            <w:r/>
            <w:r>
              <w:rPr>
                <w:rFonts w:ascii="Calibri" w:hAnsi="Calibri"/>
                <w:b/>
                <w:caps/>
                <w:color w:val="5C6370"/>
                <w:sz w:val="15"/>
              </w:rPr>
              <w:t>Decider</w:t>
            </w:r>
          </w:p>
        </w:tc>
        <w:tc>
          <w:tcPr>
            <w:tcW w:type="dxa" w:w="1234"/>
            <w:tcBorders>
              <w:bottom w:val="single" w:sz="12" w:space="4" w:color="16181D"/>
            </w:tcBorders>
          </w:tcPr>
          <w:p>
            <w:pPr>
              <w:spacing w:after="60"/>
            </w:pPr>
            <w:r/>
            <w:r>
              <w:rPr>
                <w:rFonts w:ascii="Calibri" w:hAnsi="Calibri"/>
                <w:b/>
                <w:caps/>
                <w:color w:val="5C6370"/>
                <w:sz w:val="15"/>
              </w:rPr>
              <w:t>By</w:t>
            </w:r>
          </w:p>
        </w:tc>
        <w:tc>
          <w:tcPr>
            <w:tcW w:type="dxa" w:w="1952"/>
            <w:tcBorders>
              <w:bottom w:val="single" w:sz="12" w:space="4" w:color="16181D"/>
            </w:tcBorders>
          </w:tcPr>
          <w:p>
            <w:pPr>
              <w:spacing w:after="60"/>
            </w:pPr>
            <w:r/>
            <w:r>
              <w:rPr>
                <w:rFonts w:ascii="Calibri" w:hAnsi="Calibri"/>
                <w:b/>
                <w:caps/>
                <w:color w:val="5C6370"/>
                <w:sz w:val="15"/>
              </w:rPr>
              <w:t>Blocks</w:t>
            </w:r>
          </w:p>
        </w:tc>
      </w:tr>
      <w:tr>
        <w:tc>
          <w:tcPr>
            <w:tcW w:type="dxa" w:w="1064"/>
            <w:tcBorders>
              <w:bottom w:val="single" w:sz="6" w:space="4" w:color="D8DCE3"/>
            </w:tcBorders>
          </w:tcPr>
          <w:p>
            <w:pPr>
              <w:spacing w:after="60"/>
            </w:pPr>
            <w:r/>
            <w:r>
              <w:rPr>
                <w:rFonts w:ascii="Georgia" w:hAnsi="Georgia"/>
                <w:sz w:val="18"/>
              </w:rPr>
              <w:t>Q-001</w:t>
            </w:r>
          </w:p>
        </w:tc>
        <w:tc>
          <w:tcPr>
            <w:tcW w:type="dxa" w:w="2943"/>
            <w:tcBorders>
              <w:bottom w:val="single" w:sz="6" w:space="4" w:color="D8DCE3"/>
            </w:tcBorders>
          </w:tcPr>
          <w:p>
            <w:pPr>
              <w:spacing w:after="60"/>
            </w:pPr>
            <w:r/>
            <w:r>
              <w:rPr>
                <w:rFonts w:ascii="Georgia" w:hAnsi="Georgia"/>
                <w:sz w:val="18"/>
              </w:rPr>
              <w:t>Today's first-pass buildability rate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O-001</w:t>
            </w:r>
          </w:p>
        </w:tc>
      </w:tr>
      <w:tr>
        <w:tc>
          <w:tcPr>
            <w:tcW w:type="dxa" w:w="1064"/>
            <w:tcBorders>
              <w:bottom w:val="single" w:sz="6" w:space="4" w:color="D8DCE3"/>
            </w:tcBorders>
          </w:tcPr>
          <w:p>
            <w:pPr>
              <w:spacing w:after="60"/>
            </w:pPr>
            <w:r/>
            <w:r>
              <w:rPr>
                <w:rFonts w:ascii="Georgia" w:hAnsi="Georgia"/>
                <w:sz w:val="18"/>
              </w:rPr>
              <w:t>Q-002</w:t>
            </w:r>
          </w:p>
        </w:tc>
        <w:tc>
          <w:tcPr>
            <w:tcW w:type="dxa" w:w="2943"/>
            <w:tcBorders>
              <w:bottom w:val="single" w:sz="6" w:space="4" w:color="D8DCE3"/>
            </w:tcBorders>
          </w:tcPr>
          <w:p>
            <w:pPr>
              <w:spacing w:after="60"/>
            </w:pPr>
            <w:r/>
            <w:r>
              <w:rPr>
                <w:rFonts w:ascii="Georgia" w:hAnsi="Georgia"/>
                <w:sz w:val="18"/>
              </w:rPr>
              <w:t>Today's idea-to-approval elapsed time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O-002</w:t>
            </w:r>
          </w:p>
        </w:tc>
      </w:tr>
      <w:tr>
        <w:tc>
          <w:tcPr>
            <w:tcW w:type="dxa" w:w="1064"/>
            <w:tcBorders>
              <w:bottom w:val="single" w:sz="6" w:space="4" w:color="D8DCE3"/>
            </w:tcBorders>
          </w:tcPr>
          <w:p>
            <w:pPr>
              <w:spacing w:after="60"/>
            </w:pPr>
            <w:r/>
            <w:r>
              <w:rPr>
                <w:rFonts w:ascii="Georgia" w:hAnsi="Georgia"/>
                <w:sz w:val="18"/>
              </w:rPr>
              <w:t>Q-003</w:t>
            </w:r>
          </w:p>
        </w:tc>
        <w:tc>
          <w:tcPr>
            <w:tcW w:type="dxa" w:w="2943"/>
            <w:tcBorders>
              <w:bottom w:val="single" w:sz="6" w:space="4" w:color="D8DCE3"/>
            </w:tcBorders>
          </w:tcPr>
          <w:p>
            <w:pPr>
              <w:spacing w:after="60"/>
            </w:pPr>
            <w:r/>
            <w:r>
              <w:rPr>
                <w:rFonts w:ascii="Georgia" w:hAnsi="Georgia"/>
                <w:sz w:val="18"/>
              </w:rPr>
              <w:t>Today's share of testable requirements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O-003</w:t>
            </w:r>
          </w:p>
        </w:tc>
      </w:tr>
      <w:tr>
        <w:tc>
          <w:tcPr>
            <w:tcW w:type="dxa" w:w="1064"/>
            <w:tcBorders>
              <w:bottom w:val="single" w:sz="6" w:space="4" w:color="D8DCE3"/>
            </w:tcBorders>
          </w:tcPr>
          <w:p>
            <w:pPr>
              <w:spacing w:after="60"/>
            </w:pPr>
            <w:r/>
            <w:r>
              <w:rPr>
                <w:rFonts w:ascii="Georgia" w:hAnsi="Georgia"/>
                <w:sz w:val="18"/>
              </w:rPr>
              <w:t>Q-004</w:t>
            </w:r>
          </w:p>
        </w:tc>
        <w:tc>
          <w:tcPr>
            <w:tcW w:type="dxa" w:w="2943"/>
            <w:tcBorders>
              <w:bottom w:val="single" w:sz="6" w:space="4" w:color="D8DCE3"/>
            </w:tcBorders>
          </w:tcPr>
          <w:p>
            <w:pPr>
              <w:spacing w:after="60"/>
            </w:pPr>
            <w:r/>
            <w:r>
              <w:rPr>
                <w:rFonts w:ascii="Georgia" w:hAnsi="Georgia"/>
                <w:sz w:val="18"/>
              </w:rPr>
              <w:t>Segment sizes, and which converts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2027-06-30</w:t>
            </w:r>
          </w:p>
        </w:tc>
        <w:tc>
          <w:tcPr>
            <w:tcW w:type="dxa" w:w="1952"/>
            <w:tcBorders>
              <w:bottom w:val="single" w:sz="6" w:space="4" w:color="D8DCE3"/>
            </w:tcBorders>
          </w:tcPr>
          <w:p>
            <w:pPr>
              <w:spacing w:after="60"/>
            </w:pPr>
            <w:r/>
            <w:r>
              <w:rPr>
                <w:rFonts w:ascii="Georgia" w:hAnsi="Georgia"/>
                <w:sz w:val="18"/>
              </w:rPr>
              <w:t>S-001, S-002</w:t>
            </w:r>
          </w:p>
        </w:tc>
      </w:tr>
      <w:tr>
        <w:tc>
          <w:tcPr>
            <w:tcW w:type="dxa" w:w="1064"/>
            <w:tcBorders>
              <w:bottom w:val="single" w:sz="6" w:space="4" w:color="D8DCE3"/>
            </w:tcBorders>
          </w:tcPr>
          <w:p>
            <w:pPr>
              <w:spacing w:after="60"/>
            </w:pPr>
            <w:r/>
            <w:r>
              <w:rPr>
                <w:rFonts w:ascii="Georgia" w:hAnsi="Georgia"/>
                <w:sz w:val="18"/>
              </w:rPr>
              <w:t>Q-005</w:t>
            </w:r>
          </w:p>
        </w:tc>
        <w:tc>
          <w:tcPr>
            <w:tcW w:type="dxa" w:w="2943"/>
            <w:tcBorders>
              <w:bottom w:val="single" w:sz="6" w:space="4" w:color="D8DCE3"/>
            </w:tcBorders>
          </w:tcPr>
          <w:p>
            <w:pPr>
              <w:spacing w:after="60"/>
            </w:pPr>
            <w:r/>
            <w:r>
              <w:rPr>
                <w:rFonts w:ascii="Georgia" w:hAnsi="Georgia"/>
                <w:sz w:val="18"/>
              </w:rPr>
              <w:t>Will a sponsor accept a graded specification</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FR-013, TR-001</w:t>
            </w:r>
          </w:p>
        </w:tc>
      </w:tr>
      <w:tr>
        <w:tc>
          <w:tcPr>
            <w:tcW w:type="dxa" w:w="1064"/>
            <w:tcBorders>
              <w:bottom w:val="single" w:sz="6" w:space="4" w:color="D8DCE3"/>
            </w:tcBorders>
          </w:tcPr>
          <w:p>
            <w:pPr>
              <w:spacing w:after="60"/>
            </w:pPr>
            <w:r/>
            <w:r>
              <w:rPr>
                <w:rFonts w:ascii="Georgia" w:hAnsi="Georgia"/>
                <w:sz w:val="18"/>
              </w:rPr>
              <w:t>Q-006</w:t>
            </w:r>
          </w:p>
        </w:tc>
        <w:tc>
          <w:tcPr>
            <w:tcW w:type="dxa" w:w="2943"/>
            <w:tcBorders>
              <w:bottom w:val="single" w:sz="6" w:space="4" w:color="D8DCE3"/>
            </w:tcBorders>
          </w:tcPr>
          <w:p>
            <w:pPr>
              <w:spacing w:after="60"/>
            </w:pPr>
            <w:r/>
            <w:r>
              <w:rPr>
                <w:rFonts w:ascii="Georgia" w:hAnsi="Georgia"/>
                <w:sz w:val="18"/>
              </w:rPr>
              <w:t>Sections completed per sitting, and where they stop</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R-004, NFR-005</w:t>
            </w:r>
          </w:p>
        </w:tc>
      </w:tr>
      <w:tr>
        <w:tc>
          <w:tcPr>
            <w:tcW w:type="dxa" w:w="1064"/>
            <w:tcBorders>
              <w:bottom w:val="single" w:sz="6" w:space="4" w:color="D8DCE3"/>
            </w:tcBorders>
          </w:tcPr>
          <w:p>
            <w:pPr>
              <w:spacing w:after="60"/>
            </w:pPr>
            <w:r/>
            <w:r>
              <w:rPr>
                <w:rFonts w:ascii="Georgia" w:hAnsi="Georgia"/>
                <w:sz w:val="18"/>
              </w:rPr>
              <w:t>Q-007</w:t>
            </w:r>
          </w:p>
        </w:tc>
        <w:tc>
          <w:tcPr>
            <w:tcW w:type="dxa" w:w="2943"/>
            <w:tcBorders>
              <w:bottom w:val="single" w:sz="6" w:space="4" w:color="D8DCE3"/>
            </w:tcBorders>
          </w:tcPr>
          <w:p>
            <w:pPr>
              <w:spacing w:after="60"/>
            </w:pPr>
            <w:r/>
            <w:r>
              <w:rPr>
                <w:rFonts w:ascii="Georgia" w:hAnsi="Georgia"/>
                <w:sz w:val="18"/>
              </w:rPr>
              <w:t>Is the working order right, and how does looping back feel</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ST-004</w:t>
            </w:r>
          </w:p>
        </w:tc>
      </w:tr>
      <w:tr>
        <w:tc>
          <w:tcPr>
            <w:tcW w:type="dxa" w:w="1064"/>
            <w:tcBorders>
              <w:bottom w:val="single" w:sz="6" w:space="4" w:color="D8DCE3"/>
            </w:tcBorders>
          </w:tcPr>
          <w:p>
            <w:pPr>
              <w:spacing w:after="60"/>
            </w:pPr>
            <w:r/>
            <w:r>
              <w:rPr>
                <w:rFonts w:ascii="Georgia" w:hAnsi="Georgia"/>
                <w:sz w:val="18"/>
              </w:rPr>
              <w:t>Q-008</w:t>
            </w:r>
          </w:p>
        </w:tc>
        <w:tc>
          <w:tcPr>
            <w:tcW w:type="dxa" w:w="2943"/>
            <w:tcBorders>
              <w:bottom w:val="single" w:sz="6" w:space="4" w:color="D8DCE3"/>
            </w:tcBorders>
          </w:tcPr>
          <w:p>
            <w:pPr>
              <w:spacing w:after="60"/>
            </w:pPr>
            <w:r/>
            <w:r>
              <w:rPr>
                <w:rFonts w:ascii="Georgia" w:hAnsi="Georgia"/>
                <w:sz w:val="18"/>
              </w:rPr>
              <w:t>Disciplined or incomplete, to an engineering lead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A-003</w:t>
            </w:r>
          </w:p>
        </w:tc>
      </w:tr>
      <w:tr>
        <w:tc>
          <w:tcPr>
            <w:tcW w:type="dxa" w:w="1064"/>
            <w:tcBorders>
              <w:bottom w:val="single" w:sz="6" w:space="4" w:color="D8DCE3"/>
            </w:tcBorders>
          </w:tcPr>
          <w:p>
            <w:pPr>
              <w:spacing w:after="60"/>
            </w:pPr>
            <w:r/>
            <w:r>
              <w:rPr>
                <w:rFonts w:ascii="Georgia" w:hAnsi="Georgia"/>
                <w:sz w:val="18"/>
              </w:rPr>
              <w:t>Q-009</w:t>
            </w:r>
          </w:p>
        </w:tc>
        <w:tc>
          <w:tcPr>
            <w:tcW w:type="dxa" w:w="2943"/>
            <w:tcBorders>
              <w:bottom w:val="single" w:sz="6" w:space="4" w:color="D8DCE3"/>
            </w:tcBorders>
          </w:tcPr>
          <w:p>
            <w:pPr>
              <w:spacing w:after="60"/>
            </w:pPr>
            <w:r/>
            <w:r>
              <w:rPr>
                <w:rFonts w:ascii="Georgia" w:hAnsi="Georgia"/>
                <w:sz w:val="18"/>
              </w:rPr>
              <w:t>Where the rubric and the checks live, and who owns them</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FR-004, FR-009..FR-012, NFR-007</w:t>
            </w:r>
          </w:p>
        </w:tc>
      </w:tr>
      <w:tr>
        <w:tc>
          <w:tcPr>
            <w:tcW w:type="dxa" w:w="1064"/>
            <w:tcBorders>
              <w:bottom w:val="single" w:sz="6" w:space="4" w:color="D8DCE3"/>
            </w:tcBorders>
          </w:tcPr>
          <w:p>
            <w:pPr>
              <w:spacing w:after="60"/>
            </w:pPr>
            <w:r/>
            <w:r>
              <w:rPr>
                <w:rFonts w:ascii="Georgia" w:hAnsi="Georgia"/>
                <w:sz w:val="18"/>
              </w:rPr>
              <w:t>Q-010</w:t>
            </w:r>
          </w:p>
        </w:tc>
        <w:tc>
          <w:tcPr>
            <w:tcW w:type="dxa" w:w="2943"/>
            <w:tcBorders>
              <w:bottom w:val="single" w:sz="6" w:space="4" w:color="D8DCE3"/>
            </w:tcBorders>
          </w:tcPr>
          <w:p>
            <w:pPr>
              <w:spacing w:after="60"/>
            </w:pPr>
            <w:r/>
            <w:r>
              <w:rPr>
                <w:rFonts w:ascii="Georgia" w:hAnsi="Georgia"/>
                <w:sz w:val="18"/>
              </w:rPr>
              <w:t>Where an answer lives before its section is drafted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FR-015, NFR-011</w:t>
            </w:r>
          </w:p>
        </w:tc>
      </w:tr>
      <w:tr>
        <w:tc>
          <w:tcPr>
            <w:tcW w:type="dxa" w:w="1064"/>
            <w:tcBorders>
              <w:bottom w:val="single" w:sz="6" w:space="4" w:color="D8DCE3"/>
            </w:tcBorders>
          </w:tcPr>
          <w:p>
            <w:pPr>
              <w:spacing w:after="60"/>
            </w:pPr>
            <w:r/>
            <w:r>
              <w:rPr>
                <w:rFonts w:ascii="Georgia" w:hAnsi="Georgia"/>
                <w:sz w:val="18"/>
              </w:rPr>
              <w:t>Q-011</w:t>
            </w:r>
          </w:p>
        </w:tc>
        <w:tc>
          <w:tcPr>
            <w:tcW w:type="dxa" w:w="2943"/>
            <w:tcBorders>
              <w:bottom w:val="single" w:sz="6" w:space="4" w:color="D8DCE3"/>
            </w:tcBorders>
          </w:tcPr>
          <w:p>
            <w:pPr>
              <w:spacing w:after="60"/>
            </w:pPr>
            <w:r/>
            <w:r>
              <w:rPr>
                <w:rFonts w:ascii="Georgia" w:hAnsi="Georgia"/>
                <w:sz w:val="18"/>
              </w:rPr>
              <w:t>How an approver records a decision, and who owns NFR-006/012</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2027-02-28</w:t>
            </w:r>
          </w:p>
        </w:tc>
        <w:tc>
          <w:tcPr>
            <w:tcW w:type="dxa" w:w="1952"/>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55/100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049"/>
        <w:gridCol w:w="4965"/>
      </w:tblGrid>
      <w:tr>
        <w:tc>
          <w:tcPr>
            <w:tcW w:type="dxa" w:w="4049"/>
            <w:tcBorders>
              <w:bottom w:val="single" w:sz="12" w:space="4" w:color="16181D"/>
            </w:tcBorders>
          </w:tcPr>
          <w:p>
            <w:pPr>
              <w:spacing w:after="60"/>
            </w:pPr>
            <w:r/>
            <w:r>
              <w:rPr>
                <w:rFonts w:ascii="Calibri" w:hAnsi="Calibri"/>
                <w:b/>
                <w:caps/>
                <w:color w:val="5C6370"/>
                <w:sz w:val="15"/>
              </w:rPr>
              <w:t>Term</w:t>
            </w:r>
          </w:p>
        </w:tc>
        <w:tc>
          <w:tcPr>
            <w:tcW w:type="dxa" w:w="4965"/>
            <w:tcBorders>
              <w:bottom w:val="single" w:sz="12" w:space="4" w:color="16181D"/>
            </w:tcBorders>
          </w:tcPr>
          <w:p>
            <w:pPr>
              <w:spacing w:after="60"/>
            </w:pPr>
            <w:r/>
            <w:r>
              <w:rPr>
                <w:rFonts w:ascii="Calibri" w:hAnsi="Calibri"/>
                <w:b/>
                <w:caps/>
                <w:color w:val="5C6370"/>
                <w:sz w:val="15"/>
              </w:rPr>
              <w:t>Most often confused with</w:t>
            </w:r>
          </w:p>
        </w:tc>
      </w:tr>
      <w:tr>
        <w:tc>
          <w:tcPr>
            <w:tcW w:type="dxa" w:w="4049"/>
            <w:tcBorders>
              <w:bottom w:val="single" w:sz="6" w:space="4" w:color="D8DCE3"/>
            </w:tcBorders>
          </w:tcPr>
          <w:p>
            <w:pPr>
              <w:spacing w:after="60"/>
            </w:pPr>
            <w:r/>
            <w:r>
              <w:rPr>
                <w:rFonts w:ascii="Georgia" w:hAnsi="Georgia"/>
                <w:sz w:val="18"/>
              </w:rPr>
              <w:t>PRD</w:t>
            </w:r>
          </w:p>
        </w:tc>
        <w:tc>
          <w:tcPr>
            <w:tcW w:type="dxa" w:w="4965"/>
            <w:tcBorders>
              <w:bottom w:val="single" w:sz="6" w:space="4" w:color="D8DCE3"/>
            </w:tcBorders>
          </w:tcPr>
          <w:p>
            <w:pPr>
              <w:spacing w:after="60"/>
            </w:pPr>
            <w:r/>
            <w:r>
              <w:rPr>
                <w:rFonts w:ascii="Georgia" w:hAnsi="Georgia"/>
                <w:sz w:val="18"/>
              </w:rPr>
              <w:t>A design document</w:t>
            </w:r>
          </w:p>
        </w:tc>
      </w:tr>
      <w:tr>
        <w:tc>
          <w:tcPr>
            <w:tcW w:type="dxa" w:w="4049"/>
            <w:tcBorders>
              <w:bottom w:val="single" w:sz="6" w:space="4" w:color="D8DCE3"/>
            </w:tcBorders>
          </w:tcPr>
          <w:p>
            <w:pPr>
              <w:spacing w:after="60"/>
            </w:pPr>
            <w:r/>
            <w:r>
              <w:rPr>
                <w:rFonts w:ascii="Georgia" w:hAnsi="Georgia"/>
                <w:sz w:val="18"/>
              </w:rPr>
              <w:t>Golden thread</w:t>
            </w:r>
          </w:p>
        </w:tc>
        <w:tc>
          <w:tcPr>
            <w:tcW w:type="dxa" w:w="4965"/>
            <w:tcBorders>
              <w:bottom w:val="single" w:sz="6" w:space="4" w:color="D8DCE3"/>
            </w:tcBorders>
          </w:tcPr>
          <w:p>
            <w:pPr>
              <w:spacing w:after="60"/>
            </w:pPr>
            <w:r/>
            <w:r>
              <w:rPr>
                <w:rFonts w:ascii="Georgia" w:hAnsi="Georgia"/>
                <w:sz w:val="18"/>
              </w:rPr>
              <w:t>The most important journey</w:t>
            </w:r>
          </w:p>
        </w:tc>
      </w:tr>
      <w:tr>
        <w:tc>
          <w:tcPr>
            <w:tcW w:type="dxa" w:w="4049"/>
            <w:tcBorders>
              <w:bottom w:val="single" w:sz="6" w:space="4" w:color="D8DCE3"/>
            </w:tcBorders>
          </w:tcPr>
          <w:p>
            <w:pPr>
              <w:spacing w:after="60"/>
            </w:pPr>
            <w:r/>
            <w:r>
              <w:rPr>
                <w:rFonts w:ascii="Georgia" w:hAnsi="Georgia"/>
                <w:sz w:val="18"/>
              </w:rPr>
              <w:t>Release line</w:t>
            </w:r>
          </w:p>
        </w:tc>
        <w:tc>
          <w:tcPr>
            <w:tcW w:type="dxa" w:w="4965"/>
            <w:tcBorders>
              <w:bottom w:val="single" w:sz="6" w:space="4" w:color="D8DCE3"/>
            </w:tcBorders>
          </w:tcPr>
          <w:p>
            <w:pPr>
              <w:spacing w:after="60"/>
            </w:pPr>
            <w:r/>
            <w:r>
              <w:rPr>
                <w:rFonts w:ascii="Georgia" w:hAnsi="Georgia"/>
                <w:sz w:val="18"/>
              </w:rPr>
              <w:t>A date</w:t>
            </w:r>
          </w:p>
        </w:tc>
      </w:tr>
      <w:tr>
        <w:tc>
          <w:tcPr>
            <w:tcW w:type="dxa" w:w="4049"/>
            <w:tcBorders>
              <w:bottom w:val="single" w:sz="6" w:space="4" w:color="D8DCE3"/>
            </w:tcBorders>
          </w:tcPr>
          <w:p>
            <w:pPr>
              <w:spacing w:after="60"/>
            </w:pPr>
            <w:r/>
            <w:r>
              <w:rPr>
                <w:rFonts w:ascii="Georgia" w:hAnsi="Georgia"/>
                <w:sz w:val="18"/>
              </w:rPr>
              <w:t>Stage</w:t>
            </w:r>
          </w:p>
        </w:tc>
        <w:tc>
          <w:tcPr>
            <w:tcW w:type="dxa" w:w="4965"/>
            <w:tcBorders>
              <w:bottom w:val="single" w:sz="6" w:space="4" w:color="D8DCE3"/>
            </w:tcBorders>
          </w:tcPr>
          <w:p>
            <w:pPr>
              <w:spacing w:after="60"/>
            </w:pPr>
            <w:r/>
            <w:r>
              <w:rPr>
                <w:rFonts w:ascii="Georgia" w:hAnsi="Georgia"/>
                <w:sz w:val="18"/>
              </w:rPr>
              <w:t>A screen</w:t>
            </w:r>
          </w:p>
        </w:tc>
      </w:tr>
      <w:tr>
        <w:tc>
          <w:tcPr>
            <w:tcW w:type="dxa" w:w="4049"/>
            <w:tcBorders>
              <w:bottom w:val="single" w:sz="6" w:space="4" w:color="D8DCE3"/>
            </w:tcBorders>
          </w:tcPr>
          <w:p>
            <w:pPr>
              <w:spacing w:after="60"/>
            </w:pPr>
            <w:r/>
            <w:r>
              <w:rPr>
                <w:rFonts w:ascii="Georgia" w:hAnsi="Georgia"/>
                <w:sz w:val="18"/>
              </w:rPr>
              <w:t>Rubric</w:t>
            </w:r>
          </w:p>
        </w:tc>
        <w:tc>
          <w:tcPr>
            <w:tcW w:type="dxa" w:w="4965"/>
            <w:tcBorders>
              <w:bottom w:val="single" w:sz="6" w:space="4" w:color="D8DCE3"/>
            </w:tcBorders>
          </w:tcPr>
          <w:p>
            <w:pPr>
              <w:spacing w:after="60"/>
            </w:pPr>
            <w:r/>
            <w:r>
              <w:rPr>
                <w:rFonts w:ascii="Georgia" w:hAnsi="Georgia"/>
                <w:sz w:val="18"/>
              </w:rPr>
              <w:t>A checklist</w:t>
            </w:r>
          </w:p>
        </w:tc>
      </w:tr>
      <w:tr>
        <w:tc>
          <w:tcPr>
            <w:tcW w:type="dxa" w:w="4049"/>
            <w:tcBorders>
              <w:bottom w:val="single" w:sz="6" w:space="4" w:color="D8DCE3"/>
            </w:tcBorders>
          </w:tcPr>
          <w:p>
            <w:pPr>
              <w:spacing w:after="60"/>
            </w:pPr>
            <w:r/>
            <w:r>
              <w:rPr>
                <w:rFonts w:ascii="Georgia" w:hAnsi="Georgia"/>
                <w:sz w:val="18"/>
              </w:rPr>
              <w:t>Blocking defect</w:t>
            </w:r>
          </w:p>
        </w:tc>
        <w:tc>
          <w:tcPr>
            <w:tcW w:type="dxa" w:w="4965"/>
            <w:tcBorders>
              <w:bottom w:val="single" w:sz="6" w:space="4" w:color="D8DCE3"/>
            </w:tcBorders>
          </w:tcPr>
          <w:p>
            <w:pPr>
              <w:spacing w:after="60"/>
            </w:pPr>
            <w:r/>
            <w:r>
              <w:rPr>
                <w:rFonts w:ascii="Georgia" w:hAnsi="Georgia"/>
                <w:sz w:val="18"/>
              </w:rPr>
              <w:t>A low score</w:t>
            </w:r>
          </w:p>
        </w:tc>
      </w:tr>
      <w:tr>
        <w:tc>
          <w:tcPr>
            <w:tcW w:type="dxa" w:w="4049"/>
            <w:tcBorders>
              <w:bottom w:val="single" w:sz="6" w:space="4" w:color="D8DCE3"/>
            </w:tcBorders>
          </w:tcPr>
          <w:p>
            <w:pPr>
              <w:spacing w:after="60"/>
            </w:pPr>
            <w:r/>
            <w:r>
              <w:rPr>
                <w:rFonts w:ascii="Georgia" w:hAnsi="Georgia"/>
                <w:sz w:val="18"/>
              </w:rPr>
              <w:t>Score</w:t>
            </w:r>
          </w:p>
        </w:tc>
        <w:tc>
          <w:tcPr>
            <w:tcW w:type="dxa" w:w="4965"/>
            <w:tcBorders>
              <w:bottom w:val="single" w:sz="6" w:space="4" w:color="D8DCE3"/>
            </w:tcBorders>
          </w:tcPr>
          <w:p>
            <w:pPr>
              <w:spacing w:after="60"/>
            </w:pPr>
            <w:r/>
            <w:r>
              <w:rPr>
                <w:rFonts w:ascii="Georgia" w:hAnsi="Georgia"/>
                <w:sz w:val="18"/>
              </w:rPr>
              <w:t>A verdict on the product idea</w:t>
            </w:r>
          </w:p>
        </w:tc>
      </w:tr>
      <w:tr>
        <w:tc>
          <w:tcPr>
            <w:tcW w:type="dxa" w:w="4049"/>
            <w:tcBorders>
              <w:bottom w:val="single" w:sz="6" w:space="4" w:color="D8DCE3"/>
            </w:tcBorders>
          </w:tcPr>
          <w:p>
            <w:pPr>
              <w:spacing w:after="60"/>
            </w:pPr>
            <w:r/>
            <w:r>
              <w:rPr>
                <w:rFonts w:ascii="Georgia" w:hAnsi="Georgia"/>
                <w:sz w:val="18"/>
              </w:rPr>
              <w:t>Spike</w:t>
            </w:r>
          </w:p>
        </w:tc>
        <w:tc>
          <w:tcPr>
            <w:tcW w:type="dxa" w:w="4965"/>
            <w:tcBorders>
              <w:bottom w:val="single" w:sz="6" w:space="4" w:color="D8DCE3"/>
            </w:tcBorders>
          </w:tcPr>
          <w:p>
            <w:pPr>
              <w:spacing w:after="60"/>
            </w:pPr>
            <w:r/>
            <w:r>
              <w:rPr>
                <w:rFonts w:ascii="Georgia" w:hAnsi="Georgia"/>
                <w:sz w:val="18"/>
              </w:rPr>
              <w:t>A piece of the product</w:t>
            </w:r>
          </w:p>
        </w:tc>
      </w:tr>
      <w:tr>
        <w:tc>
          <w:tcPr>
            <w:tcW w:type="dxa" w:w="4049"/>
            <w:tcBorders>
              <w:bottom w:val="single" w:sz="6" w:space="4" w:color="D8DCE3"/>
            </w:tcBorders>
          </w:tcPr>
          <w:p>
            <w:pPr>
              <w:spacing w:after="60"/>
            </w:pPr>
            <w:r/>
            <w:r>
              <w:rPr>
                <w:rFonts w:ascii="Georgia" w:hAnsi="Georgia"/>
                <w:sz w:val="18"/>
              </w:rPr>
              <w:t>Open question</w:t>
            </w:r>
          </w:p>
        </w:tc>
        <w:tc>
          <w:tcPr>
            <w:tcW w:type="dxa" w:w="4965"/>
            <w:tcBorders>
              <w:bottom w:val="single" w:sz="6" w:space="4" w:color="D8DCE3"/>
            </w:tcBorders>
          </w:tcPr>
          <w:p>
            <w:pPr>
              <w:spacing w:after="60"/>
            </w:pPr>
            <w:r/>
            <w:r>
              <w:rPr>
                <w:rFonts w:ascii="Georgia" w:hAnsi="Georgia"/>
                <w:sz w:val="18"/>
              </w:rPr>
              <w:t>A risk</w:t>
            </w:r>
          </w:p>
        </w:tc>
      </w:tr>
      <w:tr>
        <w:tc>
          <w:tcPr>
            <w:tcW w:type="dxa" w:w="4049"/>
            <w:tcBorders>
              <w:bottom w:val="single" w:sz="6" w:space="4" w:color="D8DCE3"/>
            </w:tcBorders>
          </w:tcPr>
          <w:p>
            <w:pPr>
              <w:spacing w:after="60"/>
            </w:pPr>
            <w:r/>
            <w:r>
              <w:rPr>
                <w:rFonts w:ascii="Georgia" w:hAnsi="Georgia"/>
                <w:sz w:val="18"/>
              </w:rPr>
              <w:t>Non-goal</w:t>
            </w:r>
          </w:p>
        </w:tc>
        <w:tc>
          <w:tcPr>
            <w:tcW w:type="dxa" w:w="4965"/>
            <w:tcBorders>
              <w:bottom w:val="single" w:sz="6" w:space="4" w:color="D8DCE3"/>
            </w:tcBorders>
          </w:tcPr>
          <w:p>
            <w:pPr>
              <w:spacing w:after="60"/>
            </w:pPr>
            <w:r/>
            <w:r>
              <w:rPr>
                <w:rFonts w:ascii="Georgia" w:hAnsi="Georgia"/>
                <w:sz w:val="18"/>
              </w:rPr>
              <w:t>Out of scope</w:t>
            </w:r>
          </w:p>
        </w:tc>
      </w:tr>
      <w:tr>
        <w:tc>
          <w:tcPr>
            <w:tcW w:type="dxa" w:w="4049"/>
            <w:tcBorders>
              <w:bottom w:val="single" w:sz="6" w:space="4" w:color="D8DCE3"/>
            </w:tcBorders>
          </w:tcPr>
          <w:p>
            <w:pPr>
              <w:spacing w:after="60"/>
            </w:pPr>
            <w:r/>
            <w:r>
              <w:rPr>
                <w:rFonts w:ascii="Georgia" w:hAnsi="Georgia"/>
                <w:sz w:val="18"/>
              </w:rPr>
              <w:t>Grade</w:t>
            </w:r>
          </w:p>
        </w:tc>
        <w:tc>
          <w:tcPr>
            <w:tcW w:type="dxa" w:w="4965"/>
            <w:tcBorders>
              <w:bottom w:val="single" w:sz="6" w:space="4" w:color="D8DCE3"/>
            </w:tcBorders>
          </w:tcPr>
          <w:p>
            <w:pPr>
              <w:spacing w:after="60"/>
            </w:pPr>
            <w:r/>
            <w:r>
              <w:rPr>
                <w:rFonts w:ascii="Georgia" w:hAnsi="Georgia"/>
                <w:sz w:val="18"/>
              </w:rPr>
              <w:t>Score</w:t>
            </w:r>
          </w:p>
        </w:tc>
      </w:tr>
      <w:tr>
        <w:tc>
          <w:tcPr>
            <w:tcW w:type="dxa" w:w="4049"/>
            <w:tcBorders>
              <w:bottom w:val="single" w:sz="6" w:space="4" w:color="D8DCE3"/>
            </w:tcBorders>
          </w:tcPr>
          <w:p>
            <w:pPr>
              <w:spacing w:after="60"/>
            </w:pPr>
            <w:r/>
            <w:r>
              <w:rPr>
                <w:rFonts w:ascii="Georgia" w:hAnsi="Georgia"/>
                <w:sz w:val="18"/>
              </w:rPr>
              <w:t>State</w:t>
            </w:r>
          </w:p>
        </w:tc>
        <w:tc>
          <w:tcPr>
            <w:tcW w:type="dxa" w:w="4965"/>
            <w:tcBorders>
              <w:bottom w:val="single" w:sz="6" w:space="4" w:color="D8DCE3"/>
            </w:tcBorders>
          </w:tcPr>
          <w:p>
            <w:pPr>
              <w:spacing w:after="60"/>
            </w:pPr>
            <w:r/>
            <w:r>
              <w:rPr>
                <w:rFonts w:ascii="Georgia" w:hAnsi="Georgia"/>
                <w:sz w:val="18"/>
              </w:rPr>
              <w:t>Threshold</w:t>
            </w:r>
          </w:p>
        </w:tc>
      </w:tr>
      <w:tr>
        <w:tc>
          <w:tcPr>
            <w:tcW w:type="dxa" w:w="4049"/>
            <w:tcBorders>
              <w:bottom w:val="single" w:sz="6" w:space="4" w:color="D8DCE3"/>
            </w:tcBorders>
          </w:tcPr>
          <w:p>
            <w:pPr>
              <w:spacing w:after="60"/>
            </w:pPr>
            <w:r/>
            <w:r>
              <w:rPr>
                <w:rFonts w:ascii="Georgia" w:hAnsi="Georgia"/>
                <w:sz w:val="18"/>
              </w:rPr>
              <w:t>Assumption</w:t>
            </w:r>
          </w:p>
        </w:tc>
        <w:tc>
          <w:tcPr>
            <w:tcW w:type="dxa" w:w="4965"/>
            <w:tcBorders>
              <w:bottom w:val="single" w:sz="6" w:space="4" w:color="D8DCE3"/>
            </w:tcBorders>
          </w:tcPr>
          <w:p>
            <w:pPr>
              <w:spacing w:after="60"/>
            </w:pPr>
            <w:r/>
            <w:r>
              <w:rPr>
                <w:rFonts w:ascii="Georgia" w:hAnsi="Georgia"/>
                <w:sz w:val="18"/>
              </w:rPr>
              <w:t>Open question, risk</w:t>
            </w:r>
          </w:p>
        </w:tc>
      </w:tr>
      <w:tr>
        <w:tc>
          <w:tcPr>
            <w:tcW w:type="dxa" w:w="4049"/>
            <w:tcBorders>
              <w:bottom w:val="single" w:sz="6" w:space="4" w:color="D8DCE3"/>
            </w:tcBorders>
          </w:tcPr>
          <w:p>
            <w:pPr>
              <w:spacing w:after="60"/>
            </w:pPr>
            <w:r/>
            <w:r>
              <w:rPr>
                <w:rFonts w:ascii="Georgia" w:hAnsi="Georgia"/>
                <w:sz w:val="18"/>
              </w:rPr>
              <w:t>Candidate architecture decision</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Buildability review</w:t>
            </w:r>
          </w:p>
        </w:tc>
        <w:tc>
          <w:tcPr>
            <w:tcW w:type="dxa" w:w="4965"/>
            <w:tcBorders>
              <w:bottom w:val="single" w:sz="6" w:space="4" w:color="D8DCE3"/>
            </w:tcBorders>
          </w:tcPr>
          <w:p>
            <w:pPr>
              <w:spacing w:after="60"/>
            </w:pPr>
            <w:r/>
            <w:r>
              <w:rPr>
                <w:rFonts w:ascii="Georgia" w:hAnsi="Georgia"/>
                <w:sz w:val="18"/>
              </w:rPr>
              <w:t>A grading pass</w:t>
            </w:r>
          </w:p>
        </w:tc>
      </w:tr>
      <w:tr>
        <w:tc>
          <w:tcPr>
            <w:tcW w:type="dxa" w:w="4049"/>
            <w:tcBorders>
              <w:bottom w:val="single" w:sz="6" w:space="4" w:color="D8DCE3"/>
            </w:tcBorders>
          </w:tcPr>
          <w:p>
            <w:pPr>
              <w:spacing w:after="60"/>
            </w:pPr>
            <w:r/>
            <w:r>
              <w:rPr>
                <w:rFonts w:ascii="Georgia" w:hAnsi="Georgia"/>
                <w:sz w:val="18"/>
              </w:rPr>
              <w:t>Finding</w:t>
            </w:r>
          </w:p>
        </w:tc>
        <w:tc>
          <w:tcPr>
            <w:tcW w:type="dxa" w:w="4965"/>
            <w:tcBorders>
              <w:bottom w:val="single" w:sz="6" w:space="4" w:color="D8DCE3"/>
            </w:tcBorders>
          </w:tcPr>
          <w:p>
            <w:pPr>
              <w:spacing w:after="60"/>
            </w:pPr>
            <w:r/>
            <w:r>
              <w:rPr>
                <w:rFonts w:ascii="Georgia" w:hAnsi="Georgia"/>
                <w:sz w:val="18"/>
              </w:rPr>
              <w:t>A blocking defect</w:t>
            </w:r>
          </w:p>
        </w:tc>
      </w:tr>
      <w:tr>
        <w:tc>
          <w:tcPr>
            <w:tcW w:type="dxa" w:w="4049"/>
            <w:tcBorders>
              <w:bottom w:val="single" w:sz="6" w:space="4" w:color="D8DCE3"/>
            </w:tcBorders>
          </w:tcPr>
          <w:p>
            <w:pPr>
              <w:spacing w:after="60"/>
            </w:pPr>
            <w:r/>
            <w:r>
              <w:rPr>
                <w:rFonts w:ascii="Georgia" w:hAnsi="Georgia"/>
                <w:sz w:val="18"/>
              </w:rPr>
              <w:t>Root document</w:t>
            </w:r>
          </w:p>
        </w:tc>
        <w:tc>
          <w:tcPr>
            <w:tcW w:type="dxa" w:w="4965"/>
            <w:tcBorders>
              <w:bottom w:val="single" w:sz="6" w:space="4" w:color="D8DCE3"/>
            </w:tcBorders>
          </w:tcPr>
          <w:p>
            <w:pPr>
              <w:spacing w:after="60"/>
            </w:pPr>
            <w:r/>
            <w:r>
              <w:rPr>
                <w:rFonts w:ascii="Georgia" w:hAnsi="Georgia"/>
                <w:sz w:val="18"/>
              </w:rPr>
              <w:t>Section 1</w:t>
            </w:r>
          </w:p>
        </w:tc>
      </w:tr>
      <w:tr>
        <w:tc>
          <w:tcPr>
            <w:tcW w:type="dxa" w:w="4049"/>
            <w:tcBorders>
              <w:bottom w:val="single" w:sz="6" w:space="4" w:color="D8DCE3"/>
            </w:tcBorders>
          </w:tcPr>
          <w:p>
            <w:pPr>
              <w:spacing w:after="60"/>
            </w:pPr>
            <w:r/>
            <w:r>
              <w:rPr>
                <w:rFonts w:ascii="Georgia" w:hAnsi="Georgia"/>
                <w:sz w:val="18"/>
              </w:rPr>
              <w:t>Approver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Condition</w:t>
            </w:r>
          </w:p>
        </w:tc>
        <w:tc>
          <w:tcPr>
            <w:tcW w:type="dxa" w:w="4965"/>
            <w:tcBorders>
              <w:bottom w:val="single" w:sz="6" w:space="4" w:color="D8DCE3"/>
            </w:tcBorders>
          </w:tcPr>
          <w:p>
            <w:pPr>
              <w:spacing w:after="60"/>
            </w:pPr>
            <w:r/>
            <w:r>
              <w:rPr>
                <w:rFonts w:ascii="Georgia" w:hAnsi="Georgia"/>
                <w:sz w:val="18"/>
              </w:rPr>
              <w:t>A constraint</w:t>
            </w:r>
          </w:p>
        </w:tc>
      </w:tr>
      <w:tr>
        <w:tc>
          <w:tcPr>
            <w:tcW w:type="dxa" w:w="4049"/>
            <w:tcBorders>
              <w:bottom w:val="single" w:sz="6" w:space="4" w:color="D8DCE3"/>
            </w:tcBorders>
          </w:tcPr>
          <w:p>
            <w:pPr>
              <w:spacing w:after="60"/>
            </w:pPr>
            <w:r/>
            <w:r>
              <w:rPr>
                <w:rFonts w:ascii="Georgia" w:hAnsi="Georgia"/>
                <w:sz w:val="18"/>
              </w:rPr>
              <w:t>Constraint</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Objective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Baseline</w:t>
            </w:r>
          </w:p>
        </w:tc>
        <w:tc>
          <w:tcPr>
            <w:tcW w:type="dxa" w:w="4965"/>
            <w:tcBorders>
              <w:bottom w:val="single" w:sz="6" w:space="4" w:color="D8DCE3"/>
            </w:tcBorders>
          </w:tcPr>
          <w:p>
            <w:pPr>
              <w:spacing w:after="60"/>
            </w:pPr>
            <w:r/>
            <w:r>
              <w:rPr>
                <w:rFonts w:ascii="Georgia" w:hAnsi="Georgia"/>
                <w:sz w:val="18"/>
              </w:rPr>
              <w:t>A target</w:t>
            </w:r>
          </w:p>
        </w:tc>
      </w:tr>
      <w:tr>
        <w:tc>
          <w:tcPr>
            <w:tcW w:type="dxa" w:w="4049"/>
            <w:tcBorders>
              <w:bottom w:val="single" w:sz="6" w:space="4" w:color="D8DCE3"/>
            </w:tcBorders>
          </w:tcPr>
          <w:p>
            <w:pPr>
              <w:spacing w:after="60"/>
            </w:pPr>
            <w:r/>
            <w:r>
              <w:rPr>
                <w:rFonts w:ascii="Georgia" w:hAnsi="Georgia"/>
                <w:sz w:val="18"/>
              </w:rPr>
              <w:t>Version</w:t>
            </w:r>
          </w:p>
        </w:tc>
        <w:tc>
          <w:tcPr>
            <w:tcW w:type="dxa" w:w="4965"/>
            <w:tcBorders>
              <w:bottom w:val="single" w:sz="6" w:space="4" w:color="D8DCE3"/>
            </w:tcBorders>
          </w:tcPr>
          <w:p>
            <w:pPr>
              <w:spacing w:after="60"/>
            </w:pPr>
            <w:r/>
            <w:r>
              <w:rPr>
                <w:rFonts w:ascii="Georgia" w:hAnsi="Georgia"/>
                <w:sz w:val="18"/>
              </w:rPr>
              <w:t>A release of the product</w:t>
            </w:r>
          </w:p>
        </w:tc>
      </w:tr>
      <w:tr>
        <w:tc>
          <w:tcPr>
            <w:tcW w:type="dxa" w:w="4049"/>
            <w:tcBorders>
              <w:bottom w:val="single" w:sz="6" w:space="4" w:color="D8DCE3"/>
            </w:tcBorders>
          </w:tcPr>
          <w:p>
            <w:pPr>
              <w:spacing w:after="60"/>
            </w:pPr>
            <w:r/>
            <w:r>
              <w:rPr>
                <w:rFonts w:ascii="Georgia" w:hAnsi="Georgia"/>
                <w:sz w:val="18"/>
              </w:rPr>
              <w:t>Dependency</w:t>
            </w:r>
          </w:p>
        </w:tc>
        <w:tc>
          <w:tcPr>
            <w:tcW w:type="dxa" w:w="4965"/>
            <w:tcBorders>
              <w:bottom w:val="single" w:sz="6" w:space="4" w:color="D8DCE3"/>
            </w:tcBorders>
          </w:tcPr>
          <w:p>
            <w:pPr>
              <w:spacing w:after="60"/>
            </w:pPr>
            <w:r/>
            <w:r>
              <w:rPr>
                <w:rFonts w:ascii="Georgia" w:hAnsi="Georgia"/>
                <w:sz w:val="18"/>
              </w:rPr>
              <w:t>A requirement's wait on an open question</w:t>
            </w:r>
          </w:p>
        </w:tc>
      </w:tr>
      <w:tr>
        <w:tc>
          <w:tcPr>
            <w:tcW w:type="dxa" w:w="4049"/>
            <w:tcBorders>
              <w:bottom w:val="single" w:sz="6" w:space="4" w:color="D8DCE3"/>
            </w:tcBorders>
          </w:tcPr>
          <w:p>
            <w:pPr>
              <w:spacing w:after="60"/>
            </w:pPr>
            <w:r/>
            <w:r>
              <w:rPr>
                <w:rFonts w:ascii="Georgia" w:hAnsi="Georgia"/>
                <w:sz w:val="18"/>
              </w:rPr>
              <w:t>Backlog</w:t>
            </w:r>
          </w:p>
        </w:tc>
        <w:tc>
          <w:tcPr>
            <w:tcW w:type="dxa" w:w="4965"/>
            <w:tcBorders>
              <w:bottom w:val="single" w:sz="6" w:space="4" w:color="D8DCE3"/>
            </w:tcBorders>
          </w:tcPr>
          <w:p>
            <w:pPr>
              <w:spacing w:after="60"/>
            </w:pPr>
            <w:r/>
            <w:r>
              <w:rPr>
                <w:rFonts w:ascii="Georgia" w:hAnsi="Georgia"/>
                <w:sz w:val="18"/>
              </w:rPr>
              <w:t>The set</w:t>
            </w:r>
          </w:p>
        </w:tc>
      </w:tr>
      <w:tr>
        <w:tc>
          <w:tcPr>
            <w:tcW w:type="dxa" w:w="4049"/>
            <w:tcBorders>
              <w:bottom w:val="single" w:sz="6" w:space="4" w:color="D8DCE3"/>
            </w:tcBorders>
          </w:tcPr>
          <w:p>
            <w:pPr>
              <w:spacing w:after="60"/>
            </w:pPr>
            <w:r/>
            <w:r>
              <w:rPr>
                <w:rFonts w:ascii="Georgia" w:hAnsi="Georgia"/>
                <w:sz w:val="18"/>
              </w:rPr>
              <w:t>Feature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Story</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Expert</w:t>
            </w:r>
          </w:p>
        </w:tc>
        <w:tc>
          <w:tcPr>
            <w:tcW w:type="dxa" w:w="4965"/>
            <w:tcBorders>
              <w:bottom w:val="single" w:sz="6" w:space="4" w:color="D8DCE3"/>
            </w:tcBorders>
          </w:tcPr>
          <w:p>
            <w:pPr>
              <w:spacing w:after="60"/>
            </w:pPr>
            <w:r/>
            <w:r>
              <w:rPr>
                <w:rFonts w:ascii="Georgia" w:hAnsi="Georgia"/>
                <w:sz w:val="18"/>
              </w:rPr>
              <w:t>The approver</w:t>
            </w:r>
          </w:p>
        </w:tc>
      </w:tr>
      <w:tr>
        <w:tc>
          <w:tcPr>
            <w:tcW w:type="dxa" w:w="4049"/>
            <w:tcBorders>
              <w:bottom w:val="single" w:sz="6" w:space="4" w:color="D8DCE3"/>
            </w:tcBorders>
          </w:tcPr>
          <w:p>
            <w:pPr>
              <w:spacing w:after="60"/>
            </w:pPr>
            <w:r/>
            <w:r>
              <w:rPr>
                <w:rFonts w:ascii="Georgia" w:hAnsi="Georgia"/>
                <w:sz w:val="18"/>
              </w:rPr>
              <w:t>Sponsor</w:t>
            </w:r>
          </w:p>
        </w:tc>
        <w:tc>
          <w:tcPr>
            <w:tcW w:type="dxa" w:w="4965"/>
            <w:tcBorders>
              <w:bottom w:val="single" w:sz="6" w:space="4" w:color="D8DCE3"/>
            </w:tcBorders>
          </w:tcPr>
          <w:p>
            <w:pPr>
              <w:spacing w:after="60"/>
            </w:pPr>
            <w:r/>
            <w:r>
              <w:rPr>
                <w:rFonts w:ascii="Georgia" w:hAnsi="Georgia"/>
                <w:sz w:val="18"/>
              </w:rPr>
              <w:t>The expert</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threshold, grade, grading pass, state, verdict, override, unit of work and the rest. The five tests are now numbered, because the set cites "test 5" by number five times.</w:t>
      </w:r>
    </w:p>
    <w:p>
      <w:r>
        <w:rPr>
          <w:rFonts w:ascii="Georgia" w:hAnsi="Georgia"/>
        </w:rPr>
        <w:t xml:space="preserve">The </w:t>
      </w:r>
      <w:r>
        <w:rPr>
          <w:rFonts w:ascii="Consolas" w:hAnsi="Consolas"/>
          <w:sz w:val="19"/>
        </w:rPr>
        <w:t>not</w:t>
      </w:r>
      <w:r>
        <w:rPr>
          <w:rFonts w:ascii="Georgia" w:hAnsi="Georgia"/>
        </w:rPr>
        <w:t xml:space="preserve">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condition for revisiting;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and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(decided by the expert). A section reaches </w:t>
            </w:r>
            <w:r>
              <w:rPr>
                <w:rFonts w:ascii="Consolas" w:hAnsi="Consolas"/>
                <w:sz w:val="19"/>
              </w:rPr>
              <w:t>review</w:t>
            </w:r>
            <w:r>
              <w:rPr>
                <w:rFonts w:ascii="Georgia" w:hAnsi="Georgia"/>
                <w:sz w:val="19"/>
              </w:rPr>
              <w:t xml:space="preserve"> at a score of 70 or more with no blocking defects. It reaches </w:t>
            </w:r>
            <w:r>
              <w:rPr>
                <w:rFonts w:ascii="Consolas" w:hAnsi="Consolas"/>
                <w:sz w:val="19"/>
              </w:rPr>
              <w:t>final</w:t>
            </w:r>
            <w:r>
              <w:rPr>
                <w:rFonts w:ascii="Georgia" w:hAnsi="Georgia"/>
                <w:sz w:val="19"/>
              </w:rPr>
              <w:t xml:space="preserve"> when the expert sets it final under TR-002. Approval under TR-001 covers the whole set, not one section.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It starts after the expert reads what the section is for, puts one or two questions at a time, and ends when the section has enough material to be drafted, when the expert says they have nothing more to add, or when their answers would already score the section 70 or more with no blocking defect. Only the expert answers in it.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scoped by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with the domain knowledge, persona PER-001, who answers the interviews and owns the set. The expert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Six glossary terms, FR-017 without view names, FR-010's wait on Q-007, the status-quo edge; counted evidence for P-001 to P-004; C-004 moved out of section 9; FR-008 and FR-012 restated; interview, handover, and dependency defined; FR-018 on request within 10 seconds; backlog terms, expert, and sponsor defined; FR-008 checks the set for one item stated two ways; final set by the expert;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The expert set this policy at 0.9.0.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Fixes the blocking defects the 0.8.1 grading found that do not wait on the expert. The glossary defines requirement, acceptance criteria, gap, version, domain, and reading order. FR-017's third criterion states what the expert sees when they go back, and names no view. Section 7 says that FR-010 waits on Q-007, which blocks ST-004. The status-quo competitor's edge states what an engineer who was not in the room receives at handover. Each problem in section 1 has one counted case, with its source and date. On the expert's decision, C-004 leaves section 9, which now holds no constraints. Its rule lives in TR-005 and FR-006, and its id is not reused. The constraints section may now be empty. After the 0.9.0 regrade, FR-008 states the expert's need, FR-012 reports a requirement's wait on an open question, and the glossary defines interview, handover, and dependency and names no storage or drawing format. After the second regrade, FR-018 shows a changed section and a new grade within 10 seconds of a request to refresh, FR-008 tests that every item is shown in a sentence or a table row, and the glossary defines backlog, feature, epic, story, expert, and sponsor. After the third regrade, FR-008 reports an id, priority or link that two places in the set state differently, FR-002 calls the first state pending, and the glossary says that the expert sets a section final under TR-002. The set states its versioning policy before 1.0.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7</w:t>
            </w:r>
          </w:p>
          <w:p>
            <w:pPr>
              <w:spacing w:after="40"/>
              <w:ind w:left="173"/>
            </w:pPr>
            <w:r>
              <w:rPr>
                <w:rFonts w:ascii="Georgia" w:hAnsi="Georgia"/>
                <w:sz w:val="19"/>
              </w:rPr>
              <w:t>• 9</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