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2027-03-31.</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70/100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70/100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2027-03-31.</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70/100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2"/>
        <w:gridCol w:w="2573"/>
        <w:gridCol w:w="2489"/>
        <w:gridCol w:w="2573"/>
      </w:tblGrid>
      <w:tr>
        <w:tc>
          <w:tcPr>
            <w:tcW w:type="dxa" w:w="1033"/>
            <w:tcBorders>
              <w:bottom w:val="single" w:sz="12" w:space="4" w:color="16181D"/>
            </w:tcBorders>
          </w:tcPr>
          <w:p>
            <w:pPr>
              <w:spacing w:after="60"/>
            </w:pPr>
            <w:r/>
            <w:r>
              <w:rPr>
                <w:rFonts w:ascii="Calibri" w:hAnsi="Calibri"/>
                <w:b/>
                <w:caps/>
                <w:color w:val="5C6370"/>
                <w:sz w:val="15"/>
              </w:rPr>
              <w:t>ID</w:t>
            </w:r>
          </w:p>
        </w:tc>
        <w:tc>
          <w:tcPr>
            <w:tcW w:type="dxa" w:w="2573"/>
            <w:tcBorders>
              <w:bottom w:val="single" w:sz="12" w:space="4" w:color="16181D"/>
            </w:tcBorders>
          </w:tcPr>
          <w:p>
            <w:pPr>
              <w:spacing w:after="60"/>
            </w:pPr>
            <w:r/>
            <w:r>
              <w:rPr>
                <w:rFonts w:ascii="Calibri" w:hAnsi="Calibri"/>
                <w:b/>
                <w:caps/>
                <w:color w:val="5C6370"/>
                <w:sz w:val="15"/>
              </w:rPr>
              <w:t>Segment</w:t>
            </w:r>
          </w:p>
        </w:tc>
        <w:tc>
          <w:tcPr>
            <w:tcW w:type="dxa" w:w="2489"/>
            <w:tcBorders>
              <w:bottom w:val="single" w:sz="12" w:space="4" w:color="16181D"/>
            </w:tcBorders>
          </w:tcPr>
          <w:p>
            <w:pPr>
              <w:spacing w:after="60"/>
            </w:pPr>
            <w:r/>
            <w:r>
              <w:rPr>
                <w:rFonts w:ascii="Calibri" w:hAnsi="Calibri"/>
                <w:b/>
                <w:caps/>
                <w:color w:val="5C6370"/>
                <w:sz w:val="15"/>
              </w:rPr>
              <w:t>Buyer</w:t>
            </w:r>
          </w:p>
        </w:tc>
        <w:tc>
          <w:tcPr>
            <w:tcW w:type="dxa" w:w="2573"/>
            <w:tcBorders>
              <w:bottom w:val="single" w:sz="12" w:space="4" w:color="16181D"/>
            </w:tcBorders>
          </w:tcPr>
          <w:p>
            <w:pPr>
              <w:spacing w:after="60"/>
            </w:pPr>
            <w:r/>
            <w:r>
              <w:rPr>
                <w:rFonts w:ascii="Calibri" w:hAnsi="Calibri"/>
                <w:b/>
                <w:caps/>
                <w:color w:val="5C6370"/>
                <w:sz w:val="15"/>
              </w:rPr>
              <w:t>User</w:t>
            </w:r>
          </w:p>
        </w:tc>
      </w:tr>
      <w:tr>
        <w:tc>
          <w:tcPr>
            <w:tcW w:type="dxa" w:w="1033"/>
            <w:tcBorders>
              <w:bottom w:val="single" w:sz="6" w:space="4" w:color="D8DCE3"/>
            </w:tcBorders>
          </w:tcPr>
          <w:p>
            <w:pPr>
              <w:spacing w:after="60"/>
            </w:pPr>
            <w:r/>
            <w:r>
              <w:rPr>
                <w:rFonts w:ascii="Georgia" w:hAnsi="Georgia"/>
                <w:sz w:val="18"/>
              </w:rPr>
              <w:t>S-001</w:t>
            </w:r>
          </w:p>
        </w:tc>
        <w:tc>
          <w:tcPr>
            <w:tcW w:type="dxa" w:w="2573"/>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489"/>
            <w:tcBorders>
              <w:bottom w:val="single" w:sz="6" w:space="4" w:color="D8DCE3"/>
            </w:tcBorders>
          </w:tcPr>
          <w:p>
            <w:pPr>
              <w:spacing w:after="60"/>
            </w:pPr>
            <w:r/>
            <w:r>
              <w:rPr>
                <w:rFonts w:ascii="Georgia" w:hAnsi="Georgia"/>
                <w:sz w:val="18"/>
              </w:rPr>
              <w:t>Principal or practice lead, as the sponsor</w:t>
            </w:r>
          </w:p>
        </w:tc>
        <w:tc>
          <w:tcPr>
            <w:tcW w:type="dxa" w:w="2573"/>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3"/>
            <w:tcBorders>
              <w:bottom w:val="single" w:sz="6" w:space="4" w:color="D8DCE3"/>
            </w:tcBorders>
          </w:tcPr>
          <w:p>
            <w:pPr>
              <w:spacing w:after="60"/>
            </w:pPr>
            <w:r/>
            <w:r>
              <w:rPr>
                <w:rFonts w:ascii="Georgia" w:hAnsi="Georgia"/>
                <w:sz w:val="18"/>
              </w:rPr>
              <w:t>S-002</w:t>
            </w:r>
          </w:p>
        </w:tc>
        <w:tc>
          <w:tcPr>
            <w:tcW w:type="dxa" w:w="2573"/>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489"/>
            <w:tcBorders>
              <w:bottom w:val="single" w:sz="6" w:space="4" w:color="D8DCE3"/>
            </w:tcBorders>
          </w:tcPr>
          <w:p>
            <w:pPr>
              <w:spacing w:after="60"/>
            </w:pPr>
            <w:r/>
            <w:r>
              <w:rPr>
                <w:rFonts w:ascii="Georgia" w:hAnsi="Georgia"/>
                <w:sz w:val="18"/>
              </w:rPr>
              <w:t>Head of product or head of transformation, as the sponsor</w:t>
            </w:r>
          </w:p>
        </w:tc>
        <w:tc>
          <w:tcPr>
            <w:tcW w:type="dxa" w:w="2573"/>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records them as a non-goal. The id S-003 is not reused.</w:t>
      </w:r>
    </w:p>
    <w:p>
      <w:pPr>
        <w:pStyle w:val="Heading3"/>
      </w:pPr>
      <w:r>
        <w:t>Why we win</w:t>
      </w:r>
    </w:p>
    <w:p>
      <w:r>
        <w:rPr>
          <w:rFonts w:ascii="Georgia" w:hAnsi="Georgia"/>
        </w:rPr>
        <w:t>For a consultancy, S-001, the consultant's billable hours on a PRD end in a set an engineer can estimate from without coming back with questions. For a regulated organization, S-002, the practitioner writes the PRD themselves instead of the organization contracting a product manager without the domain. In both, the buyer sees before approving which parts a team could not build from. The day rate behind the S-002 comparison is Q-013.</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The product runs only inside an assistant session the expert already uses (D-001).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or head of transformation,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An engineering lead may read a PRD that names no technology as incomplete (A-003).</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anyone estimates, the buyer holds a report that names each release-line stage no requirement covers and quotes each requirement an engineer could not write a test from. The buyer can check a ChatPRD draft for the same report.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sees a grade and its blocking defects for each section, so a fluent section that cannot be built is marked before approval.</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closest to the domain knowledge, and the buyer sees each section's grade and blocking defects before approving. In S-001 the consultant already stands between the client and the page, so the edge there is availability and cost, not fewer hands.</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2027-03-31,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22"/>
        <w:gridCol w:w="1733"/>
        <w:gridCol w:w="1905"/>
        <w:gridCol w:w="1922"/>
      </w:tblGrid>
      <w:tr>
        <w:tc>
          <w:tcPr>
            <w:tcW w:type="dxa" w:w="1013"/>
            <w:tcBorders>
              <w:bottom w:val="single" w:sz="12" w:space="4" w:color="16181D"/>
            </w:tcBorders>
          </w:tcPr>
          <w:p>
            <w:pPr>
              <w:spacing w:after="60"/>
            </w:pPr>
            <w:r/>
            <w:r>
              <w:rPr>
                <w:rFonts w:ascii="Calibri" w:hAnsi="Calibri"/>
                <w:b/>
                <w:caps/>
                <w:color w:val="5C6370"/>
                <w:sz w:val="15"/>
              </w:rPr>
              <w:t>ID</w:t>
            </w:r>
          </w:p>
        </w:tc>
        <w:tc>
          <w:tcPr>
            <w:tcW w:type="dxa" w:w="1922"/>
            <w:tcBorders>
              <w:bottom w:val="single" w:sz="12" w:space="4" w:color="16181D"/>
            </w:tcBorders>
          </w:tcPr>
          <w:p>
            <w:pPr>
              <w:spacing w:after="60"/>
            </w:pPr>
            <w:r/>
            <w:r>
              <w:rPr>
                <w:rFonts w:ascii="Calibri" w:hAnsi="Calibri"/>
                <w:b/>
                <w:caps/>
                <w:color w:val="5C6370"/>
                <w:sz w:val="15"/>
              </w:rPr>
              <w:t>Role</w:t>
            </w:r>
          </w:p>
        </w:tc>
        <w:tc>
          <w:tcPr>
            <w:tcW w:type="dxa" w:w="1734"/>
            <w:tcBorders>
              <w:bottom w:val="single" w:sz="12" w:space="4" w:color="16181D"/>
            </w:tcBorders>
          </w:tcPr>
          <w:p>
            <w:pPr>
              <w:spacing w:after="60"/>
            </w:pPr>
            <w:r/>
            <w:r>
              <w:rPr>
                <w:rFonts w:ascii="Calibri" w:hAnsi="Calibri"/>
                <w:b/>
                <w:caps/>
                <w:color w:val="5C6370"/>
                <w:sz w:val="15"/>
              </w:rPr>
              <w:t>Per PRD</w:t>
            </w:r>
          </w:p>
        </w:tc>
        <w:tc>
          <w:tcPr>
            <w:tcW w:type="dxa" w:w="1905"/>
            <w:tcBorders>
              <w:bottom w:val="single" w:sz="12" w:space="4" w:color="16181D"/>
            </w:tcBorders>
          </w:tcPr>
          <w:p>
            <w:pPr>
              <w:spacing w:after="60"/>
            </w:pPr>
            <w:r/>
            <w:r>
              <w:rPr>
                <w:rFonts w:ascii="Calibri" w:hAnsi="Calibri"/>
                <w:b/>
                <w:caps/>
                <w:color w:val="5C6370"/>
                <w:sz w:val="15"/>
              </w:rPr>
              <w:t>Frequency</w:t>
            </w:r>
          </w:p>
        </w:tc>
        <w:tc>
          <w:tcPr>
            <w:tcW w:type="dxa" w:w="1922"/>
            <w:tcBorders>
              <w:bottom w:val="single" w:sz="12" w:space="4" w:color="16181D"/>
            </w:tcBorders>
          </w:tcPr>
          <w:p>
            <w:pPr>
              <w:spacing w:after="60"/>
            </w:pPr>
            <w:r/>
            <w:r>
              <w:rPr>
                <w:rFonts w:ascii="Calibri" w:hAnsi="Calibri"/>
                <w:b/>
                <w:caps/>
                <w:color w:val="5C6370"/>
                <w:sz w:val="15"/>
              </w:rPr>
              <w:t>Decides</w:t>
            </w:r>
          </w:p>
        </w:tc>
      </w:tr>
      <w:tr>
        <w:tc>
          <w:tcPr>
            <w:tcW w:type="dxa" w:w="1013"/>
            <w:tcBorders>
              <w:bottom w:val="single" w:sz="6" w:space="4" w:color="D8DCE3"/>
            </w:tcBorders>
          </w:tcPr>
          <w:p>
            <w:pPr>
              <w:spacing w:after="60"/>
            </w:pPr>
            <w:r/>
            <w:r>
              <w:rPr>
                <w:rFonts w:ascii="Georgia" w:hAnsi="Georgia"/>
                <w:sz w:val="18"/>
              </w:rPr>
              <w:t>PER-001</w:t>
            </w:r>
          </w:p>
        </w:tc>
        <w:tc>
          <w:tcPr>
            <w:tcW w:type="dxa" w:w="1922"/>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4"/>
            <w:tcBorders>
              <w:bottom w:val="single" w:sz="6" w:space="4" w:color="D8DCE3"/>
            </w:tcBorders>
          </w:tcPr>
          <w:p>
            <w:pPr>
              <w:spacing w:after="60"/>
            </w:pPr>
            <w:r/>
            <w:r>
              <w:rPr>
                <w:rFonts w:ascii="Georgia" w:hAnsi="Georgia"/>
                <w:sz w:val="18"/>
              </w:rPr>
              <w:t>One; 2 PRDs at once and 6 a year per organization</w:t>
            </w:r>
          </w:p>
        </w:tc>
        <w:tc>
          <w:tcPr>
            <w:tcW w:type="dxa" w:w="1905"/>
            <w:tcBorders>
              <w:bottom w:val="single" w:sz="6" w:space="4" w:color="D8DCE3"/>
            </w:tcBorders>
          </w:tcPr>
          <w:p>
            <w:pPr>
              <w:spacing w:after="60"/>
            </w:pPr>
            <w:r/>
            <w:r>
              <w:rPr>
                <w:rFonts w:ascii="Georgia" w:hAnsi="Georgia"/>
                <w:sz w:val="18"/>
              </w:rPr>
              <w:t>3 sessions a week of 1 to 2 hours, for 1 to 3 weeks per PRD</w:t>
            </w:r>
          </w:p>
        </w:tc>
        <w:tc>
          <w:tcPr>
            <w:tcW w:type="dxa" w:w="1922"/>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3"/>
            <w:tcBorders>
              <w:bottom w:val="single" w:sz="6" w:space="4" w:color="D8DCE3"/>
            </w:tcBorders>
          </w:tcPr>
          <w:p>
            <w:pPr>
              <w:spacing w:after="60"/>
            </w:pPr>
            <w:r/>
            <w:r>
              <w:rPr>
                <w:rFonts w:ascii="Georgia" w:hAnsi="Georgia"/>
                <w:sz w:val="18"/>
              </w:rPr>
              <w:t>PER-002</w:t>
            </w:r>
          </w:p>
        </w:tc>
        <w:tc>
          <w:tcPr>
            <w:tcW w:type="dxa" w:w="1922"/>
            <w:tcBorders>
              <w:bottom w:val="single" w:sz="6" w:space="4" w:color="D8DCE3"/>
            </w:tcBorders>
          </w:tcPr>
          <w:p>
            <w:pPr>
              <w:spacing w:after="60"/>
            </w:pPr>
            <w:r/>
            <w:r>
              <w:rPr>
                <w:rFonts w:ascii="Georgia" w:hAnsi="Georgia"/>
                <w:sz w:val="18"/>
              </w:rPr>
              <w:t>Engineering lead (staff or principal engineer) on the delivery team</w:t>
            </w:r>
          </w:p>
        </w:tc>
        <w:tc>
          <w:tcPr>
            <w:tcW w:type="dxa" w:w="1734"/>
            <w:tcBorders>
              <w:bottom w:val="single" w:sz="6" w:space="4" w:color="D8DCE3"/>
            </w:tcBorders>
          </w:tcPr>
          <w:p>
            <w:pPr>
              <w:spacing w:after="60"/>
            </w:pPr>
            <w:r/>
            <w:r>
              <w:rPr>
                <w:rFonts w:ascii="Georgia" w:hAnsi="Georgia"/>
                <w:sz w:val="18"/>
              </w:rPr>
              <w:t>One or two</w:t>
            </w:r>
          </w:p>
        </w:tc>
        <w:tc>
          <w:tcPr>
            <w:tcW w:type="dxa" w:w="1905"/>
            <w:tcBorders>
              <w:bottom w:val="single" w:sz="6" w:space="4" w:color="D8DCE3"/>
            </w:tcBorders>
          </w:tcPr>
          <w:p>
            <w:pPr>
              <w:spacing w:after="60"/>
            </w:pPr>
            <w:r/>
            <w:r>
              <w:rPr>
                <w:rFonts w:ascii="Georgia" w:hAnsi="Georgia"/>
                <w:sz w:val="18"/>
              </w:rPr>
              <w:t>At estimation and at each release planning</w:t>
            </w:r>
          </w:p>
        </w:tc>
        <w:tc>
          <w:tcPr>
            <w:tcW w:type="dxa" w:w="1922"/>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3"/>
            <w:tcBorders>
              <w:bottom w:val="single" w:sz="6" w:space="4" w:color="D8DCE3"/>
            </w:tcBorders>
          </w:tcPr>
          <w:p>
            <w:pPr>
              <w:spacing w:after="60"/>
            </w:pPr>
            <w:r/>
            <w:r>
              <w:rPr>
                <w:rFonts w:ascii="Georgia" w:hAnsi="Georgia"/>
                <w:sz w:val="18"/>
              </w:rPr>
              <w:t>PER-003</w:t>
            </w:r>
          </w:p>
        </w:tc>
        <w:tc>
          <w:tcPr>
            <w:tcW w:type="dxa" w:w="1922"/>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4"/>
            <w:tcBorders>
              <w:bottom w:val="single" w:sz="6" w:space="4" w:color="D8DCE3"/>
            </w:tcBorders>
          </w:tcPr>
          <w:p>
            <w:pPr>
              <w:spacing w:after="60"/>
            </w:pPr>
            <w:r/>
            <w:r>
              <w:rPr>
                <w:rFonts w:ascii="Georgia" w:hAnsi="Georgia"/>
                <w:sz w:val="18"/>
              </w:rPr>
              <w:t>One</w:t>
            </w:r>
          </w:p>
        </w:tc>
        <w:tc>
          <w:tcPr>
            <w:tcW w:type="dxa" w:w="1905"/>
            <w:tcBorders>
              <w:bottom w:val="single" w:sz="6" w:space="4" w:color="D8DCE3"/>
            </w:tcBorders>
          </w:tcPr>
          <w:p>
            <w:pPr>
              <w:spacing w:after="60"/>
            </w:pPr>
            <w:r/>
            <w:r>
              <w:rPr>
                <w:rFonts w:ascii="Georgia" w:hAnsi="Georgia"/>
                <w:sz w:val="18"/>
              </w:rPr>
              <w:t>Once per version, about 6 a year</w:t>
            </w:r>
          </w:p>
        </w:tc>
        <w:tc>
          <w:tcPr>
            <w:tcW w:type="dxa" w:w="1922"/>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3"/>
            <w:tcBorders>
              <w:bottom w:val="single" w:sz="6" w:space="4" w:color="D8DCE3"/>
            </w:tcBorders>
          </w:tcPr>
          <w:p>
            <w:pPr>
              <w:spacing w:after="60"/>
            </w:pPr>
            <w:r/>
            <w:r>
              <w:rPr>
                <w:rFonts w:ascii="Georgia" w:hAnsi="Georgia"/>
                <w:sz w:val="18"/>
              </w:rPr>
              <w:t>PER-004</w:t>
            </w:r>
          </w:p>
        </w:tc>
        <w:tc>
          <w:tcPr>
            <w:tcW w:type="dxa" w:w="1922"/>
            <w:tcBorders>
              <w:bottom w:val="single" w:sz="6" w:space="4" w:color="D8DCE3"/>
            </w:tcBorders>
          </w:tcPr>
          <w:p>
            <w:pPr>
              <w:spacing w:after="60"/>
            </w:pPr>
            <w:r/>
            <w:r>
              <w:rPr>
                <w:rFonts w:ascii="Georgia" w:hAnsi="Georgia"/>
                <w:sz w:val="18"/>
              </w:rPr>
              <w:t>Delivery lead (delivery manager or product owner) on the delivery team</w:t>
            </w:r>
          </w:p>
        </w:tc>
        <w:tc>
          <w:tcPr>
            <w:tcW w:type="dxa" w:w="1734"/>
            <w:tcBorders>
              <w:bottom w:val="single" w:sz="6" w:space="4" w:color="D8DCE3"/>
            </w:tcBorders>
          </w:tcPr>
          <w:p>
            <w:pPr>
              <w:spacing w:after="60"/>
            </w:pPr>
            <w:r/>
            <w:r>
              <w:rPr>
                <w:rFonts w:ascii="Georgia" w:hAnsi="Georgia"/>
                <w:sz w:val="18"/>
              </w:rPr>
              <w:t>One</w:t>
            </w:r>
          </w:p>
        </w:tc>
        <w:tc>
          <w:tcPr>
            <w:tcW w:type="dxa" w:w="1905"/>
            <w:tcBorders>
              <w:bottom w:val="single" w:sz="6" w:space="4" w:color="D8DCE3"/>
            </w:tcBorders>
          </w:tcPr>
          <w:p>
            <w:pPr>
              <w:spacing w:after="60"/>
            </w:pPr>
            <w:r/>
            <w:r>
              <w:rPr>
                <w:rFonts w:ascii="Georgia" w:hAnsi="Georgia"/>
                <w:sz w:val="18"/>
              </w:rPr>
              <w:t>Once per release, about 6 a year</w:t>
            </w:r>
          </w:p>
        </w:tc>
        <w:tc>
          <w:tcPr>
            <w:tcW w:type="dxa" w:w="1922"/>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In a consultancy engagement,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sessions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sessions a week of 1 to 2 hours each, for one to three weeks per PRD, about 6 to 9 sessions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delivery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delivery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No dependency tests it yet.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9C2B2B"/>
          <w:sz w:val="15"/>
        </w:rPr>
        <w:t>draft · 88/100 · 1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81/100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83/100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88/100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decides, by 2027-01-31, what happens to REL-001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the same sessions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 NFR-005</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Q-009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Does REL-001 keep its date, or move if D-002 and D-003 slip</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Until they are answered, section 3's targets are provisional. Nothing should be committed to a plan on the strength of them.</w:t>
      </w:r>
    </w:p>
    <w:p>
      <w:r>
        <w:rPr>
          <w:rFonts w:ascii="Georgia" w:hAnsi="Georgia"/>
          <w:b/>
        </w:rPr>
        <w:t>Q-009 and Q-010 block the most.</w:t>
      </w:r>
      <w:r>
        <w:rPr>
          <w:rFonts w:ascii="Georgia" w:hAnsi="Georgia"/>
        </w:rPr>
        <w:t xml:space="preserve">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is the schedule.</w:t>
      </w:r>
      <w:r>
        <w:rPr>
          <w:rFonts w:ascii="Georgia" w:hAnsi="Georgia"/>
        </w:rPr>
        <w:t xml:space="preserve"> D-002 and D-003 now report by 2027-01-31, and the questions they answer are due by 2027-02-28, a month before REL-001. Q-019 decides what happens to REL-001 if they slip.</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Trace one recorded interview from the first answer to the drafted section, and mark each place an answer sits before the draft, checked against A-005 and NFR-004.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Compare the segments against the first ten conversations with buyers.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an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sessions,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Q-009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 owns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confirm the owner with that party.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engagement,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REL-001 keep 2027-03-31 if D-002 and D-003 report by 2027-01-31, and does it move or ship as an experiment if they slip?</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Check the dates D-002 and D-003 commit to, and compare them with REL-001's target date.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 owns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confirm the owner with that party.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which, and Richard Hightower decides it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second reader,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70/100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sessions,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second reader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delivery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A section meets the gate,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release date the plan aims at and has not committed to, marked </w:t>
            </w:r>
            <w:r>
              <w:rPr>
                <w:rFonts w:ascii="Consolas" w:hAnsi="Consolas"/>
                <w:sz w:val="19"/>
              </w:rPr>
              <w:t>date_status: indicative</w:t>
            </w:r>
            <w:r>
              <w:rPr>
                <w:rFonts w:ascii="Georgia" w:hAnsi="Georgia"/>
                <w:sz w:val="19"/>
              </w:rPr>
              <w:t xml:space="preser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and FR-020 split out;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stated per segment in the buyer's terms, and each segment names its personas.</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are due by 2027-02-28. Q-011 is answered.</w:t>
      </w:r>
    </w:p>
    <w:p>
      <w:pPr>
        <w:pStyle w:val="ListBullet"/>
        <w:spacing w:after="60"/>
      </w:pPr>
      <w:r>
        <w:rPr>
          <w:b/>
        </w:rPr>
        <w:t>Section 13:</w:t>
      </w:r>
      <w:r>
        <w:t xml:space="preserve"> REL-001 depends on D-002, D-003, and Q-019.</w:t>
      </w:r>
    </w:p>
    <w:p>
      <w:pPr>
        <w:pStyle w:val="ListBullet"/>
        <w:spacing w:after="60"/>
      </w:pPr>
      <w:r>
        <w:rPr>
          <w:b/>
        </w:rPr>
        <w:t>Section 14:</w:t>
      </w:r>
      <w:r>
        <w:t xml:space="preserve"> eight terms cite a verified source, and review, pass, refute, and approval each have one meaning.</w:t>
      </w:r>
    </w:p>
    <w:p>
      <w:pPr>
        <w:pStyle w:val="ListBullet"/>
        <w:spacing w:after="60"/>
      </w:pPr>
      <w:r>
        <w:rPr>
          <w:b/>
        </w:rPr>
        <w:t>Section 15:</w:t>
      </w:r>
      <w:r>
        <w:t xml:space="preserve"> the versioning policy.</w:t>
      </w:r>
    </w:p>
    <w:p>
      <w:r>
        <w:rPr>
          <w:rFonts w:ascii="Georgia" w:hAnsi="Georgia"/>
        </w:rPr>
        <w:t>None of this is structural under the policy. No stage is added, removed, or reordered, and the golden thread's goal and end state are unchanged. The release line's text now quotes the existing end state, and ST-006 stays in the release line,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When it is offered, the sponsor, PER-003, is the approver who will be asked.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Adds counted evidence and sourced why-now claims, and a versioning policy. Personas get named roles, populations, and frequencies, and every journey stage gets the expert's satisfaction score. ST-006 happens outside the product. FR-019 and FR-020 split out of FR-004 and FR-008, FR-014 records a rejection, TR-014 has the expert accept or refute each score, and LC-001 lets a section go back to draft. C-004 leaves section 9, and teams without the domain are a non-goal. Eight glossary terms cite a verified source, and each defined word has one meaning. Open questions are single and due before REL-001. The body lists the change by section. This is a minor version: new content, with no structural change.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and records the reasons,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