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2027-03-31.</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1</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2027-03-31.</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'as_of': datetime.date(2026, 10, 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'as_of': datetime.date(2026, 10, 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'as_of': datetime.date(2026, 10, 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'as_of': datetime.date(2026, 10, 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were segment S-003 until 0.8.1. They already employ the product skill and want the domain, which this product does not supply, so section 6 records them as a non-goal. The id S-003 is not reused.</w:t>
      </w:r>
    </w:p>
    <w:p>
      <w:pPr>
        <w:pStyle w:val="Heading3"/>
      </w:pPr>
      <w:r>
        <w:t>Why we win</w:t>
      </w:r>
    </w:p>
    <w:p>
      <w:r>
        <w:rPr>
          <w:rFonts w:ascii="Georgia" w:hAnsi="Georgia"/>
        </w:rPr>
        <w:t>"Before I approve the budget, I can see which parts of a PRD my own expert wrote my team could not build from yet."</w:t>
      </w:r>
    </w:p>
    <w:p>
      <w:r>
        <w:rPr>
          <w:rFonts w:ascii="Georgia" w:hAnsi="Georgia"/>
        </w:rPr>
        <w:t>The sponsor in either segment says this. In S-001 they weigh it against the consultant's billable hours, and in S-002 against contracting a product manager without the domain, whose day rate is Q-013.</w:t>
      </w:r>
    </w:p>
    <w:p>
      <w:r>
        <w:rPr>
          <w:rFonts w:ascii="Georgia" w:hAnsi="Georgia"/>
          <w:b/>
        </w:rPr>
        <w:t>Honest weakness.</w:t>
      </w:r>
      <w:r>
        <w:rPr>
          <w:rFonts w:ascii="Georgia" w:hAnsi="Georgia"/>
        </w:rPr>
        <w:t xml:space="preserve"> Against a product manager who already holds the domain, we have no quality edge, only availability and cost.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sponsor may trust a machine-produced grade less, not more (Q-005).</w:t>
            </w:r>
          </w:p>
          <w:p>
            <w:pPr>
              <w:spacing w:after="40"/>
              <w:ind w:left="173"/>
            </w:pPr>
            <w:r>
              <w:rPr>
                <w:rFonts w:ascii="Georgia" w:hAnsi="Georgia"/>
                <w:sz w:val="19"/>
              </w:rPr>
              <w:t>• An engineering lead may read a PRD that names no technology as incomplete (A-003).</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anyone estimates, the buyer holds a report that names each release-line stage no requirement covers and quotes each requirement an engineer could not write a test from. The buyer can check a ChatPRD draft for the same report.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After one engagement, each fact the expert could not supply is an open question with a named decider and a date, and the set holds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approving, the buyer can see which sections are not yet ready, each with the quoted defect that holds it back, so a fluent section that cannot be built is not offered as ready. Fluency is the failure mode in P-003.</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PRD is written by the person closest to the domain knowledge, and the buyer sees each section's grade and blocking defects before approving. In S-001 the consultant already stands between the client and the page, and any cost advantage there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receives a set that names each release-line stage no requirement covers and holds each fact the expert could not supply as an open question with a named decider and a date,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22"/>
        <w:gridCol w:w="1733"/>
        <w:gridCol w:w="1905"/>
        <w:gridCol w:w="1922"/>
      </w:tblGrid>
      <w:tr>
        <w:tc>
          <w:tcPr>
            <w:tcW w:type="dxa" w:w="1013"/>
            <w:tcBorders>
              <w:bottom w:val="single" w:sz="12" w:space="4" w:color="16181D"/>
            </w:tcBorders>
          </w:tcPr>
          <w:p>
            <w:pPr>
              <w:spacing w:after="60"/>
            </w:pPr>
            <w:r/>
            <w:r>
              <w:rPr>
                <w:rFonts w:ascii="Calibri" w:hAnsi="Calibri"/>
                <w:b/>
                <w:caps/>
                <w:color w:val="5C6370"/>
                <w:sz w:val="15"/>
              </w:rPr>
              <w:t>ID</w:t>
            </w:r>
          </w:p>
        </w:tc>
        <w:tc>
          <w:tcPr>
            <w:tcW w:type="dxa" w:w="1922"/>
            <w:tcBorders>
              <w:bottom w:val="single" w:sz="12" w:space="4" w:color="16181D"/>
            </w:tcBorders>
          </w:tcPr>
          <w:p>
            <w:pPr>
              <w:spacing w:after="60"/>
            </w:pPr>
            <w:r/>
            <w:r>
              <w:rPr>
                <w:rFonts w:ascii="Calibri" w:hAnsi="Calibri"/>
                <w:b/>
                <w:caps/>
                <w:color w:val="5C6370"/>
                <w:sz w:val="15"/>
              </w:rPr>
              <w:t>Role</w:t>
            </w:r>
          </w:p>
        </w:tc>
        <w:tc>
          <w:tcPr>
            <w:tcW w:type="dxa" w:w="1734"/>
            <w:tcBorders>
              <w:bottom w:val="single" w:sz="12" w:space="4" w:color="16181D"/>
            </w:tcBorders>
          </w:tcPr>
          <w:p>
            <w:pPr>
              <w:spacing w:after="60"/>
            </w:pPr>
            <w:r/>
            <w:r>
              <w:rPr>
                <w:rFonts w:ascii="Calibri" w:hAnsi="Calibri"/>
                <w:b/>
                <w:caps/>
                <w:color w:val="5C6370"/>
                <w:sz w:val="15"/>
              </w:rPr>
              <w:t>Per PRD</w:t>
            </w:r>
          </w:p>
        </w:tc>
        <w:tc>
          <w:tcPr>
            <w:tcW w:type="dxa" w:w="1905"/>
            <w:tcBorders>
              <w:bottom w:val="single" w:sz="12" w:space="4" w:color="16181D"/>
            </w:tcBorders>
          </w:tcPr>
          <w:p>
            <w:pPr>
              <w:spacing w:after="60"/>
            </w:pPr>
            <w:r/>
            <w:r>
              <w:rPr>
                <w:rFonts w:ascii="Calibri" w:hAnsi="Calibri"/>
                <w:b/>
                <w:caps/>
                <w:color w:val="5C6370"/>
                <w:sz w:val="15"/>
              </w:rPr>
              <w:t>Frequency</w:t>
            </w:r>
          </w:p>
        </w:tc>
        <w:tc>
          <w:tcPr>
            <w:tcW w:type="dxa" w:w="1922"/>
            <w:tcBorders>
              <w:bottom w:val="single" w:sz="12" w:space="4" w:color="16181D"/>
            </w:tcBorders>
          </w:tcPr>
          <w:p>
            <w:pPr>
              <w:spacing w:after="60"/>
            </w:pPr>
            <w:r/>
            <w:r>
              <w:rPr>
                <w:rFonts w:ascii="Calibri" w:hAnsi="Calibri"/>
                <w:b/>
                <w:caps/>
                <w:color w:val="5C6370"/>
                <w:sz w:val="15"/>
              </w:rPr>
              <w:t>Decides</w:t>
            </w:r>
          </w:p>
        </w:tc>
      </w:tr>
      <w:tr>
        <w:tc>
          <w:tcPr>
            <w:tcW w:type="dxa" w:w="1013"/>
            <w:tcBorders>
              <w:bottom w:val="single" w:sz="6" w:space="4" w:color="D8DCE3"/>
            </w:tcBorders>
          </w:tcPr>
          <w:p>
            <w:pPr>
              <w:spacing w:after="60"/>
            </w:pPr>
            <w:r/>
            <w:r>
              <w:rPr>
                <w:rFonts w:ascii="Georgia" w:hAnsi="Georgia"/>
                <w:sz w:val="18"/>
              </w:rPr>
              <w:t>PER-001</w:t>
            </w:r>
          </w:p>
        </w:tc>
        <w:tc>
          <w:tcPr>
            <w:tcW w:type="dxa" w:w="1922"/>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4"/>
            <w:tcBorders>
              <w:bottom w:val="single" w:sz="6" w:space="4" w:color="D8DCE3"/>
            </w:tcBorders>
          </w:tcPr>
          <w:p>
            <w:pPr>
              <w:spacing w:after="60"/>
            </w:pPr>
            <w:r/>
            <w:r>
              <w:rPr>
                <w:rFonts w:ascii="Georgia" w:hAnsi="Georgia"/>
                <w:sz w:val="18"/>
              </w:rPr>
              <w:t>One; 2 PRDs at once and 6 a year per organization</w:t>
            </w:r>
          </w:p>
        </w:tc>
        <w:tc>
          <w:tcPr>
            <w:tcW w:type="dxa" w:w="1905"/>
            <w:tcBorders>
              <w:bottom w:val="single" w:sz="6" w:space="4" w:color="D8DCE3"/>
            </w:tcBorders>
          </w:tcPr>
          <w:p>
            <w:pPr>
              <w:spacing w:after="60"/>
            </w:pPr>
            <w:r/>
            <w:r>
              <w:rPr>
                <w:rFonts w:ascii="Georgia" w:hAnsi="Georgia"/>
                <w:sz w:val="18"/>
              </w:rPr>
              <w:t>3 sessions a week of 1 to 2 hours, for 1 to 3 weeks per PRD</w:t>
            </w:r>
          </w:p>
        </w:tc>
        <w:tc>
          <w:tcPr>
            <w:tcW w:type="dxa" w:w="1922"/>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3"/>
            <w:tcBorders>
              <w:bottom w:val="single" w:sz="6" w:space="4" w:color="D8DCE3"/>
            </w:tcBorders>
          </w:tcPr>
          <w:p>
            <w:pPr>
              <w:spacing w:after="60"/>
            </w:pPr>
            <w:r/>
            <w:r>
              <w:rPr>
                <w:rFonts w:ascii="Georgia" w:hAnsi="Georgia"/>
                <w:sz w:val="18"/>
              </w:rPr>
              <w:t>PER-002</w:t>
            </w:r>
          </w:p>
        </w:tc>
        <w:tc>
          <w:tcPr>
            <w:tcW w:type="dxa" w:w="1922"/>
            <w:tcBorders>
              <w:bottom w:val="single" w:sz="6" w:space="4" w:color="D8DCE3"/>
            </w:tcBorders>
          </w:tcPr>
          <w:p>
            <w:pPr>
              <w:spacing w:after="60"/>
            </w:pPr>
            <w:r/>
            <w:r>
              <w:rPr>
                <w:rFonts w:ascii="Georgia" w:hAnsi="Georgia"/>
                <w:sz w:val="18"/>
              </w:rPr>
              <w:t>Engineering lead (staff or principal engineer) on the delivery team</w:t>
            </w:r>
          </w:p>
        </w:tc>
        <w:tc>
          <w:tcPr>
            <w:tcW w:type="dxa" w:w="1734"/>
            <w:tcBorders>
              <w:bottom w:val="single" w:sz="6" w:space="4" w:color="D8DCE3"/>
            </w:tcBorders>
          </w:tcPr>
          <w:p>
            <w:pPr>
              <w:spacing w:after="60"/>
            </w:pPr>
            <w:r/>
            <w:r>
              <w:rPr>
                <w:rFonts w:ascii="Georgia" w:hAnsi="Georgia"/>
                <w:sz w:val="18"/>
              </w:rPr>
              <w:t>One or two</w:t>
            </w:r>
          </w:p>
        </w:tc>
        <w:tc>
          <w:tcPr>
            <w:tcW w:type="dxa" w:w="1905"/>
            <w:tcBorders>
              <w:bottom w:val="single" w:sz="6" w:space="4" w:color="D8DCE3"/>
            </w:tcBorders>
          </w:tcPr>
          <w:p>
            <w:pPr>
              <w:spacing w:after="60"/>
            </w:pPr>
            <w:r/>
            <w:r>
              <w:rPr>
                <w:rFonts w:ascii="Georgia" w:hAnsi="Georgia"/>
                <w:sz w:val="18"/>
              </w:rPr>
              <w:t>At estimation and at each release planning</w:t>
            </w:r>
          </w:p>
        </w:tc>
        <w:tc>
          <w:tcPr>
            <w:tcW w:type="dxa" w:w="1922"/>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3"/>
            <w:tcBorders>
              <w:bottom w:val="single" w:sz="6" w:space="4" w:color="D8DCE3"/>
            </w:tcBorders>
          </w:tcPr>
          <w:p>
            <w:pPr>
              <w:spacing w:after="60"/>
            </w:pPr>
            <w:r/>
            <w:r>
              <w:rPr>
                <w:rFonts w:ascii="Georgia" w:hAnsi="Georgia"/>
                <w:sz w:val="18"/>
              </w:rPr>
              <w:t>PER-003</w:t>
            </w:r>
          </w:p>
        </w:tc>
        <w:tc>
          <w:tcPr>
            <w:tcW w:type="dxa" w:w="1922"/>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4"/>
            <w:tcBorders>
              <w:bottom w:val="single" w:sz="6" w:space="4" w:color="D8DCE3"/>
            </w:tcBorders>
          </w:tcPr>
          <w:p>
            <w:pPr>
              <w:spacing w:after="60"/>
            </w:pPr>
            <w:r/>
            <w:r>
              <w:rPr>
                <w:rFonts w:ascii="Georgia" w:hAnsi="Georgia"/>
                <w:sz w:val="18"/>
              </w:rPr>
              <w:t>One</w:t>
            </w:r>
          </w:p>
        </w:tc>
        <w:tc>
          <w:tcPr>
            <w:tcW w:type="dxa" w:w="1905"/>
            <w:tcBorders>
              <w:bottom w:val="single" w:sz="6" w:space="4" w:color="D8DCE3"/>
            </w:tcBorders>
          </w:tcPr>
          <w:p>
            <w:pPr>
              <w:spacing w:after="60"/>
            </w:pPr>
            <w:r/>
            <w:r>
              <w:rPr>
                <w:rFonts w:ascii="Georgia" w:hAnsi="Georgia"/>
                <w:sz w:val="18"/>
              </w:rPr>
              <w:t>Once per version, about 6 a year</w:t>
            </w:r>
          </w:p>
        </w:tc>
        <w:tc>
          <w:tcPr>
            <w:tcW w:type="dxa" w:w="1922"/>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3"/>
            <w:tcBorders>
              <w:bottom w:val="single" w:sz="6" w:space="4" w:color="D8DCE3"/>
            </w:tcBorders>
          </w:tcPr>
          <w:p>
            <w:pPr>
              <w:spacing w:after="60"/>
            </w:pPr>
            <w:r/>
            <w:r>
              <w:rPr>
                <w:rFonts w:ascii="Georgia" w:hAnsi="Georgia"/>
                <w:sz w:val="18"/>
              </w:rPr>
              <w:t>PER-004</w:t>
            </w:r>
          </w:p>
        </w:tc>
        <w:tc>
          <w:tcPr>
            <w:tcW w:type="dxa" w:w="1922"/>
            <w:tcBorders>
              <w:bottom w:val="single" w:sz="6" w:space="4" w:color="D8DCE3"/>
            </w:tcBorders>
          </w:tcPr>
          <w:p>
            <w:pPr>
              <w:spacing w:after="60"/>
            </w:pPr>
            <w:r/>
            <w:r>
              <w:rPr>
                <w:rFonts w:ascii="Georgia" w:hAnsi="Georgia"/>
                <w:sz w:val="18"/>
              </w:rPr>
              <w:t>Delivery lead (delivery manager or product owner) on the delivery team</w:t>
            </w:r>
          </w:p>
        </w:tc>
        <w:tc>
          <w:tcPr>
            <w:tcW w:type="dxa" w:w="1734"/>
            <w:tcBorders>
              <w:bottom w:val="single" w:sz="6" w:space="4" w:color="D8DCE3"/>
            </w:tcBorders>
          </w:tcPr>
          <w:p>
            <w:pPr>
              <w:spacing w:after="60"/>
            </w:pPr>
            <w:r/>
            <w:r>
              <w:rPr>
                <w:rFonts w:ascii="Georgia" w:hAnsi="Georgia"/>
                <w:sz w:val="18"/>
              </w:rPr>
              <w:t>One</w:t>
            </w:r>
          </w:p>
        </w:tc>
        <w:tc>
          <w:tcPr>
            <w:tcW w:type="dxa" w:w="1905"/>
            <w:tcBorders>
              <w:bottom w:val="single" w:sz="6" w:space="4" w:color="D8DCE3"/>
            </w:tcBorders>
          </w:tcPr>
          <w:p>
            <w:pPr>
              <w:spacing w:after="60"/>
            </w:pPr>
            <w:r/>
            <w:r>
              <w:rPr>
                <w:rFonts w:ascii="Georgia" w:hAnsi="Georgia"/>
                <w:sz w:val="18"/>
              </w:rPr>
              <w:t>Once per release, about 6 a year</w:t>
            </w:r>
          </w:p>
        </w:tc>
        <w:tc>
          <w:tcPr>
            <w:tcW w:type="dxa" w:w="1922"/>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sessions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sessions a week of 1 to 2 hours each, for one to three weeks per PRD, about 6 to 9 sessions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delivery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delivery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85/100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it ready for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86/100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Ten of the 20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88/100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simultaneous users are the host's load and not ours;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84/100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4"/>
        <w:gridCol w:w="2931"/>
        <w:gridCol w:w="1209"/>
        <w:gridCol w:w="1617"/>
        <w:gridCol w:w="1572"/>
      </w:tblGrid>
      <w:tr>
        <w:tc>
          <w:tcPr>
            <w:tcW w:type="dxa" w:w="1165"/>
            <w:tcBorders>
              <w:bottom w:val="single" w:sz="12" w:space="4" w:color="16181D"/>
            </w:tcBorders>
          </w:tcPr>
          <w:p>
            <w:pPr>
              <w:spacing w:after="60"/>
            </w:pPr>
            <w:r/>
            <w:r>
              <w:rPr>
                <w:rFonts w:ascii="Calibri" w:hAnsi="Calibri"/>
                <w:b/>
                <w:caps/>
                <w:color w:val="5C6370"/>
                <w:sz w:val="15"/>
              </w:rPr>
              <w:t>ID</w:t>
            </w:r>
          </w:p>
        </w:tc>
        <w:tc>
          <w:tcPr>
            <w:tcW w:type="dxa" w:w="2931"/>
            <w:tcBorders>
              <w:bottom w:val="single" w:sz="12" w:space="4" w:color="16181D"/>
            </w:tcBorders>
          </w:tcPr>
          <w:p>
            <w:pPr>
              <w:spacing w:after="60"/>
            </w:pPr>
            <w:r/>
            <w:r>
              <w:rPr>
                <w:rFonts w:ascii="Calibri" w:hAnsi="Calibri"/>
                <w:b/>
                <w:caps/>
                <w:color w:val="5C6370"/>
                <w:sz w:val="15"/>
              </w:rPr>
              <w:t>Decision</w:t>
            </w:r>
          </w:p>
        </w:tc>
        <w:tc>
          <w:tcPr>
            <w:tcW w:type="dxa" w:w="1210"/>
            <w:tcBorders>
              <w:bottom w:val="single" w:sz="12" w:space="4" w:color="16181D"/>
            </w:tcBorders>
          </w:tcPr>
          <w:p>
            <w:pPr>
              <w:spacing w:after="60"/>
            </w:pPr>
            <w:r/>
            <w:r>
              <w:rPr>
                <w:rFonts w:ascii="Calibri" w:hAnsi="Calibri"/>
                <w:b/>
                <w:caps/>
                <w:color w:val="5C6370"/>
                <w:sz w:val="15"/>
              </w:rPr>
              <w:t>Decider</w:t>
            </w:r>
          </w:p>
        </w:tc>
        <w:tc>
          <w:tcPr>
            <w:tcW w:type="dxa" w:w="1618"/>
            <w:tcBorders>
              <w:bottom w:val="single" w:sz="12" w:space="4" w:color="16181D"/>
            </w:tcBorders>
          </w:tcPr>
          <w:p>
            <w:pPr>
              <w:spacing w:after="60"/>
            </w:pPr>
            <w:r/>
            <w:r>
              <w:rPr>
                <w:rFonts w:ascii="Calibri" w:hAnsi="Calibri"/>
                <w:b/>
                <w:caps/>
                <w:color w:val="5C6370"/>
                <w:sz w:val="15"/>
              </w:rPr>
              <w:t>Agent may decide</w:t>
            </w:r>
          </w:p>
        </w:tc>
        <w:tc>
          <w:tcPr>
            <w:tcW w:type="dxa" w:w="1572"/>
            <w:tcBorders>
              <w:bottom w:val="single" w:sz="12" w:space="4" w:color="16181D"/>
            </w:tcBorders>
          </w:tcPr>
          <w:p>
            <w:pPr>
              <w:spacing w:after="60"/>
            </w:pPr>
            <w:r/>
            <w:r>
              <w:rPr>
                <w:rFonts w:ascii="Calibri" w:hAnsi="Calibri"/>
                <w:b/>
                <w:caps/>
                <w:color w:val="5C6370"/>
                <w:sz w:val="15"/>
              </w:rPr>
              <w:t>Never delegated</w:t>
            </w:r>
          </w:p>
        </w:tc>
      </w:tr>
      <w:tr>
        <w:tc>
          <w:tcPr>
            <w:tcW w:type="dxa" w:w="1165"/>
            <w:tcBorders>
              <w:bottom w:val="single" w:sz="6" w:space="4" w:color="D8DCE3"/>
            </w:tcBorders>
          </w:tcPr>
          <w:p>
            <w:pPr>
              <w:spacing w:after="60"/>
            </w:pPr>
            <w:r/>
            <w:r>
              <w:rPr>
                <w:rFonts w:ascii="Georgia" w:hAnsi="Georgia"/>
                <w:sz w:val="18"/>
              </w:rPr>
              <w:t>TR-001</w:t>
            </w:r>
          </w:p>
        </w:tc>
        <w:tc>
          <w:tcPr>
            <w:tcW w:type="dxa" w:w="2931"/>
            <w:tcBorders>
              <w:bottom w:val="single" w:sz="6" w:space="4" w:color="D8DCE3"/>
            </w:tcBorders>
          </w:tcPr>
          <w:p>
            <w:pPr>
              <w:spacing w:after="60"/>
            </w:pPr>
            <w:r/>
            <w:r>
              <w:rPr>
                <w:rFonts w:ascii="Georgia" w:hAnsi="Georgia"/>
                <w:sz w:val="18"/>
              </w:rPr>
              <w:t>Approve a PRD for a release</w:t>
            </w:r>
          </w:p>
        </w:tc>
        <w:tc>
          <w:tcPr>
            <w:tcW w:type="dxa" w:w="1210"/>
            <w:tcBorders>
              <w:bottom w:val="single" w:sz="6" w:space="4" w:color="D8DCE3"/>
            </w:tcBorders>
          </w:tcPr>
          <w:p>
            <w:pPr>
              <w:spacing w:after="60"/>
            </w:pPr>
            <w:r/>
            <w:r>
              <w:rPr>
                <w:rFonts w:ascii="Georgia" w:hAnsi="Georgia"/>
                <w:sz w:val="18"/>
              </w:rPr>
              <w:t>PER-003</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TR-002</w:t>
            </w:r>
          </w:p>
        </w:tc>
        <w:tc>
          <w:tcPr>
            <w:tcW w:type="dxa" w:w="2931"/>
            <w:tcBorders>
              <w:bottom w:val="single" w:sz="6" w:space="4" w:color="D8DCE3"/>
            </w:tcBorders>
          </w:tcPr>
          <w:p>
            <w:pPr>
              <w:spacing w:after="60"/>
            </w:pPr>
            <w:r/>
            <w:r>
              <w:rPr>
                <w:rFonts w:ascii="Georgia" w:hAnsi="Georgia"/>
                <w:sz w:val="18"/>
              </w:rPr>
              <w:t>Set a section to final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TR-003</w:t>
            </w:r>
          </w:p>
        </w:tc>
        <w:tc>
          <w:tcPr>
            <w:tcW w:type="dxa" w:w="2931"/>
            <w:tcBorders>
              <w:bottom w:val="single" w:sz="6" w:space="4" w:color="D8DCE3"/>
            </w:tcBorders>
          </w:tcPr>
          <w:p>
            <w:pPr>
              <w:spacing w:after="60"/>
            </w:pPr>
            <w:r/>
            <w:r>
              <w:rPr>
                <w:rFonts w:ascii="Georgia" w:hAnsi="Georgia"/>
                <w:sz w:val="18"/>
              </w:rPr>
              <w:t>Produce a section's score and findings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TR-004</w:t>
            </w:r>
          </w:p>
        </w:tc>
        <w:tc>
          <w:tcPr>
            <w:tcW w:type="dxa" w:w="2931"/>
            <w:tcBorders>
              <w:bottom w:val="single" w:sz="6" w:space="4" w:color="D8DCE3"/>
            </w:tcBorders>
          </w:tcPr>
          <w:p>
            <w:pPr>
              <w:spacing w:after="60"/>
            </w:pPr>
            <w:r/>
            <w:r>
              <w:rPr>
                <w:rFonts w:ascii="Georgia" w:hAnsi="Georgia"/>
                <w:sz w:val="18"/>
              </w:rPr>
              <w:t>Decide scope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TR-005</w:t>
            </w:r>
          </w:p>
        </w:tc>
        <w:tc>
          <w:tcPr>
            <w:tcW w:type="dxa" w:w="2931"/>
            <w:tcBorders>
              <w:bottom w:val="single" w:sz="6" w:space="4" w:color="D8DCE3"/>
            </w:tcBorders>
          </w:tcPr>
          <w:p>
            <w:pPr>
              <w:spacing w:after="60"/>
            </w:pPr>
            <w:r/>
            <w:r>
              <w:rPr>
                <w:rFonts w:ascii="Georgia" w:hAnsi="Georgia"/>
                <w:sz w:val="18"/>
              </w:rPr>
              <w:t>State a domain fact as true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TR-006</w:t>
            </w:r>
          </w:p>
        </w:tc>
        <w:tc>
          <w:tcPr>
            <w:tcW w:type="dxa" w:w="2931"/>
            <w:tcBorders>
              <w:bottom w:val="single" w:sz="6" w:space="4" w:color="D8DCE3"/>
            </w:tcBorders>
          </w:tcPr>
          <w:p>
            <w:pPr>
              <w:spacing w:after="60"/>
            </w:pPr>
            <w:r/>
            <w:r>
              <w:rPr>
                <w:rFonts w:ascii="Georgia" w:hAnsi="Georgia"/>
                <w:sz w:val="18"/>
              </w:rPr>
              <w:t>Judge buildability, and report the gaps</w:t>
            </w:r>
          </w:p>
        </w:tc>
        <w:tc>
          <w:tcPr>
            <w:tcW w:type="dxa" w:w="1210"/>
            <w:tcBorders>
              <w:bottom w:val="single" w:sz="6" w:space="4" w:color="D8DCE3"/>
            </w:tcBorders>
          </w:tcPr>
          <w:p>
            <w:pPr>
              <w:spacing w:after="60"/>
            </w:pPr>
            <w:r/>
            <w:r>
              <w:rPr>
                <w:rFonts w:ascii="Georgia" w:hAnsi="Georgia"/>
                <w:sz w:val="18"/>
              </w:rPr>
              <w:t>PER-002</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TR-007</w:t>
            </w:r>
          </w:p>
        </w:tc>
        <w:tc>
          <w:tcPr>
            <w:tcW w:type="dxa" w:w="2931"/>
            <w:tcBorders>
              <w:bottom w:val="single" w:sz="6" w:space="4" w:color="D8DCE3"/>
            </w:tcBorders>
          </w:tcPr>
          <w:p>
            <w:pPr>
              <w:spacing w:after="60"/>
            </w:pPr>
            <w:r/>
            <w:r>
              <w:rPr>
                <w:rFonts w:ascii="Georgia" w:hAnsi="Georgia"/>
                <w:sz w:val="18"/>
              </w:rPr>
              <w:t>Decide the domain's own terms</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TR-008</w:t>
            </w:r>
          </w:p>
        </w:tc>
        <w:tc>
          <w:tcPr>
            <w:tcW w:type="dxa" w:w="2931"/>
            <w:tcBorders>
              <w:bottom w:val="single" w:sz="6" w:space="4" w:color="D8DCE3"/>
            </w:tcBorders>
          </w:tcPr>
          <w:p>
            <w:pPr>
              <w:spacing w:after="60"/>
            </w:pPr>
            <w:r/>
            <w:r>
              <w:rPr>
                <w:rFonts w:ascii="Georgia" w:hAnsi="Georgia"/>
                <w:sz w:val="18"/>
              </w:rPr>
              <w:t>Decide a section's interview is finished</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TR-009</w:t>
            </w:r>
          </w:p>
        </w:tc>
        <w:tc>
          <w:tcPr>
            <w:tcW w:type="dxa" w:w="2931"/>
            <w:tcBorders>
              <w:bottom w:val="single" w:sz="6" w:space="4" w:color="D8DCE3"/>
            </w:tcBorders>
          </w:tcPr>
          <w:p>
            <w:pPr>
              <w:spacing w:after="60"/>
            </w:pPr>
            <w:r/>
            <w:r>
              <w:rPr>
                <w:rFonts w:ascii="Georgia" w:hAnsi="Georgia"/>
                <w:sz w:val="18"/>
              </w:rPr>
              <w:t>Decide a section may be left at draft</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TR-010</w:t>
            </w:r>
          </w:p>
        </w:tc>
        <w:tc>
          <w:tcPr>
            <w:tcW w:type="dxa" w:w="2931"/>
            <w:tcBorders>
              <w:bottom w:val="single" w:sz="6" w:space="4" w:color="D8DCE3"/>
            </w:tcBorders>
          </w:tcPr>
          <w:p>
            <w:pPr>
              <w:spacing w:after="60"/>
            </w:pPr>
            <w:r/>
            <w:r>
              <w:rPr>
                <w:rFonts w:ascii="Georgia" w:hAnsi="Georgia"/>
                <w:sz w:val="18"/>
              </w:rPr>
              <w:t>Decide the set is ready to offer for approval</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TR-011</w:t>
            </w:r>
          </w:p>
        </w:tc>
        <w:tc>
          <w:tcPr>
            <w:tcW w:type="dxa" w:w="2931"/>
            <w:tcBorders>
              <w:bottom w:val="single" w:sz="6" w:space="4" w:color="D8DCE3"/>
            </w:tcBorders>
          </w:tcPr>
          <w:p>
            <w:pPr>
              <w:spacing w:after="60"/>
            </w:pPr>
            <w:r/>
            <w:r>
              <w:rPr>
                <w:rFonts w:ascii="Georgia" w:hAnsi="Georgia"/>
                <w:sz w:val="18"/>
              </w:rPr>
              <w:t>Decide a backlog can be mapped</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b/>
                <w:sz w:val="18"/>
              </w:rPr>
              <w:t>yes</w:t>
            </w:r>
          </w:p>
        </w:tc>
        <w:tc>
          <w:tcPr>
            <w:tcW w:type="dxa" w:w="1572"/>
            <w:tcBorders>
              <w:bottom w:val="single" w:sz="6" w:space="4" w:color="D8DCE3"/>
            </w:tcBorders>
          </w:tcPr>
          <w:p>
            <w:pPr>
              <w:spacing w:after="60"/>
            </w:pPr>
            <w:r/>
            <w:r>
              <w:rPr>
                <w:rFonts w:ascii="Georgia" w:hAnsi="Georgia"/>
                <w:sz w:val="18"/>
              </w:rPr>
              <w:t>no</w:t>
            </w:r>
          </w:p>
        </w:tc>
      </w:tr>
      <w:tr>
        <w:tc>
          <w:tcPr>
            <w:tcW w:type="dxa" w:w="1165"/>
            <w:tcBorders>
              <w:bottom w:val="single" w:sz="6" w:space="4" w:color="D8DCE3"/>
            </w:tcBorders>
          </w:tcPr>
          <w:p>
            <w:pPr>
              <w:spacing w:after="60"/>
            </w:pPr>
            <w:r/>
            <w:r>
              <w:rPr>
                <w:rFonts w:ascii="Georgia" w:hAnsi="Georgia"/>
                <w:sz w:val="18"/>
              </w:rPr>
              <w:t>TR-012</w:t>
            </w:r>
          </w:p>
        </w:tc>
        <w:tc>
          <w:tcPr>
            <w:tcW w:type="dxa" w:w="2931"/>
            <w:tcBorders>
              <w:bottom w:val="single" w:sz="6" w:space="4" w:color="D8DCE3"/>
            </w:tcBorders>
          </w:tcPr>
          <w:p>
            <w:pPr>
              <w:spacing w:after="60"/>
            </w:pPr>
            <w:r/>
            <w:r>
              <w:rPr>
                <w:rFonts w:ascii="Georgia" w:hAnsi="Georgia"/>
                <w:sz w:val="18"/>
              </w:rPr>
              <w:t>Decide which epics come first</w:t>
            </w:r>
          </w:p>
        </w:tc>
        <w:tc>
          <w:tcPr>
            <w:tcW w:type="dxa" w:w="1210"/>
            <w:tcBorders>
              <w:bottom w:val="single" w:sz="6" w:space="4" w:color="D8DCE3"/>
            </w:tcBorders>
          </w:tcPr>
          <w:p>
            <w:pPr>
              <w:spacing w:after="60"/>
            </w:pPr>
            <w:r/>
            <w:r>
              <w:rPr>
                <w:rFonts w:ascii="Georgia" w:hAnsi="Georgia"/>
                <w:sz w:val="18"/>
              </w:rPr>
              <w:t>PER-004</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TR-013</w:t>
            </w:r>
          </w:p>
        </w:tc>
        <w:tc>
          <w:tcPr>
            <w:tcW w:type="dxa" w:w="2931"/>
            <w:tcBorders>
              <w:bottom w:val="single" w:sz="6" w:space="4" w:color="D8DCE3"/>
            </w:tcBorders>
          </w:tcPr>
          <w:p>
            <w:pPr>
              <w:spacing w:after="60"/>
            </w:pPr>
            <w:r/>
            <w:r>
              <w:rPr>
                <w:rFonts w:ascii="Georgia" w:hAnsi="Georgia"/>
                <w:sz w:val="18"/>
              </w:rPr>
              <w:t>Accept or correct a drafted section</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r>
        <w:tc>
          <w:tcPr>
            <w:tcW w:type="dxa" w:w="1165"/>
            <w:tcBorders>
              <w:bottom w:val="single" w:sz="6" w:space="4" w:color="D8DCE3"/>
            </w:tcBorders>
          </w:tcPr>
          <w:p>
            <w:pPr>
              <w:spacing w:after="60"/>
            </w:pPr>
            <w:r/>
            <w:r>
              <w:rPr>
                <w:rFonts w:ascii="Georgia" w:hAnsi="Georgia"/>
                <w:sz w:val="18"/>
              </w:rPr>
              <w:t>TR-014</w:t>
            </w:r>
          </w:p>
        </w:tc>
        <w:tc>
          <w:tcPr>
            <w:tcW w:type="dxa" w:w="2931"/>
            <w:tcBorders>
              <w:bottom w:val="single" w:sz="6" w:space="4" w:color="D8DCE3"/>
            </w:tcBorders>
          </w:tcPr>
          <w:p>
            <w:pPr>
              <w:spacing w:after="60"/>
            </w:pPr>
            <w:r/>
            <w:r>
              <w:rPr>
                <w:rFonts w:ascii="Georgia" w:hAnsi="Georgia"/>
                <w:sz w:val="18"/>
              </w:rPr>
              <w:t>Accept or refute a section's score</w:t>
            </w:r>
          </w:p>
        </w:tc>
        <w:tc>
          <w:tcPr>
            <w:tcW w:type="dxa" w:w="1210"/>
            <w:tcBorders>
              <w:bottom w:val="single" w:sz="6" w:space="4" w:color="D8DCE3"/>
            </w:tcBorders>
          </w:tcPr>
          <w:p>
            <w:pPr>
              <w:spacing w:after="60"/>
            </w:pPr>
            <w:r/>
            <w:r>
              <w:rPr>
                <w:rFonts w:ascii="Georgia" w:hAnsi="Georgia"/>
                <w:sz w:val="18"/>
              </w:rPr>
              <w:t>PER-001</w:t>
            </w:r>
          </w:p>
        </w:tc>
        <w:tc>
          <w:tcPr>
            <w:tcW w:type="dxa" w:w="1618"/>
            <w:tcBorders>
              <w:bottom w:val="single" w:sz="6" w:space="4" w:color="D8DCE3"/>
            </w:tcBorders>
          </w:tcPr>
          <w:p>
            <w:pPr>
              <w:spacing w:after="60"/>
            </w:pPr>
            <w:r/>
            <w:r>
              <w:rPr>
                <w:rFonts w:ascii="Georgia" w:hAnsi="Georgia"/>
                <w:sz w:val="18"/>
              </w:rPr>
              <w:t>no</w:t>
            </w:r>
          </w:p>
        </w:tc>
        <w:tc>
          <w:tcPr>
            <w:tcW w:type="dxa" w:w="1572"/>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88/100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the same sessions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9C2B2B"/>
          <w:sz w:val="15"/>
        </w:rPr>
        <w:t>draft · 88/100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Does REL-001 keep its date if D-002 and D-003 report on time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Q-009 and Q-010 block the most.</w:t>
      </w:r>
      <w:r>
        <w:rPr>
          <w:rFonts w:ascii="Georgia" w:hAnsi="Georgia"/>
        </w:rPr>
        <w:t xml:space="preserve">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the writing of one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sessions,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engagement,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Q-019  </w:t>
      </w:r>
      <w:r>
        <w:rPr>
          <w:rFonts w:ascii="Calibri" w:hAnsi="Calibri"/>
          <w:b/>
          <w:sz w:val="20"/>
        </w:rPr>
        <w:t>Does REL-001 keep 2027-03-31 if D-002 and D-003 report by 2027-01-31?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Get the date each party behind D-002 and D-003 commits to in writing. The answer is yes only if both commit to 2027-01-31 or earlier.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sessions, held by 2027-01-31. Time-boxed to 1 day after the sessions.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Q-022  </w:t>
      </w:r>
      <w:r>
        <w:rPr>
          <w:rFonts w:ascii="Calibri" w:hAnsi="Calibri"/>
          <w:b/>
          <w:sz w:val="20"/>
        </w:rPr>
        <w:t>If D-002 or D-003 reports after 2027-01-31, does REL-001 move or ship as an 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Q-023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83/100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second reader,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9C2B2B"/>
          <w:sz w:val="15"/>
        </w:rPr>
        <w:t>draft · 75/100 · 1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A set ready to be offered for approval</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sessions,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w:t>
            </w:r>
            <w:r>
              <w:rPr>
                <w:rFonts w:ascii="Consolas" w:hAnsi="Consolas"/>
                <w:sz w:val="19"/>
              </w:rPr>
              <w:t>pending</w:t>
            </w:r>
            <w:r>
              <w:rPr>
                <w:rFonts w:ascii="Georgia" w:hAnsi="Georgia"/>
                <w:sz w:val="19"/>
              </w:rPr>
              <w:t xml:space="preserve">,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person who approves, approves with conditions, or rejects the whole set for a release under TR-001: the sponsor, or the expert when no sponsor exists. A set approved with conditions reads that way until the approver clears every condition.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set ready to be offered for approval. Ready describes one section. The expert decides that the whole set is offered for approval, under TR-010.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second reader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delivery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Host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session the expert already works in, which renders what the product shows and carries its load, as dependency D-001 records.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p>
            <w:pPr>
              <w:spacing w:after="40"/>
              <w:ind w:left="173"/>
            </w:pPr>
            <w:r>
              <w:rPr>
                <w:rFonts w:ascii="Georgia" w:hAnsi="Georgia"/>
                <w:sz w:val="19"/>
              </w:rPr>
              <w:t>• dependency</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 own documents the set, or the PRD.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and FR-020 split out;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from the specification review: problems, objectives, competitors, decision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No change to the set; the product changed</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in the sponsor's words,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Host and the general sense of specification are defined.</w:t>
      </w:r>
    </w:p>
    <w:p>
      <w:pPr>
        <w:pStyle w:val="ListBullet"/>
        <w:spacing w:after="60"/>
      </w:pPr>
      <w:r>
        <w:rPr>
          <w:b/>
        </w:rPr>
        <w:t>Section 15:</w:t>
      </w:r>
      <w:r>
        <w:t xml:space="preserve"> the versioning policy, a 0.5.0 entry, and the date the set is offered for approval, 2027-03-15.</w:t>
      </w:r>
    </w:p>
    <w:p>
      <w:r>
        <w:rPr>
          <w:rFonts w:ascii="Georgia" w:hAnsi="Georgia"/>
        </w:rPr>
        <w:t>None of this is structural under the policy. No stage is added, removed, or reordered, and the golden thread's goal and end state are unchanged. The release line's text now quotes the existing end state, and ST-006 stays in the release line,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Version 0.5.0 changed the product and not this PRD. Its entry says so, because the set and the product share one version number.</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The set is offered for approval by 2027-03-15. Richard Hightower, the sponsor, PER-003, is the approver who will be asked. A section reaches </w:t>
      </w:r>
      <w:r>
        <w:rPr>
          <w:rFonts w:ascii="Consolas" w:hAnsi="Consolas"/>
          <w:sz w:val="19"/>
        </w:rPr>
        <w:t>final</w:t>
      </w:r>
      <w:r>
        <w:rPr>
          <w:rFonts w:ascii="Georgia" w:hAnsi="Georgia"/>
        </w:rPr>
        <w:t xml:space="preserve"> when the expert sets it final, under TR-002.</w:t>
      </w:r>
    </w:p>
    <w:p>
      <w:pPr>
        <w:keepNext/>
        <w:spacing w:before="220" w:after="60"/>
        <w:ind w:left="115"/>
        <w:pBdr>
          <w:left w:val="single" w:sz="18" w:space="0" w:color="1F4E79"/>
        </w:pBdr>
      </w:pPr>
      <w:r>
        <w:rPr>
          <w:rFonts w:ascii="Calibri" w:hAnsi="Calibri"/>
          <w:b/>
          <w:sz w:val="20"/>
        </w:rPr>
        <w:t>Adds counted evidence and sourced why-now claims, and a versioning policy. Personas get named roles, populations, and frequencies, and every journey stage gets the expert's satisfaction score. ST-006 happens outside the product. FR-019 and FR-020 split out of FR-004 and FR-008, FR-014 records a rejection, TR-014 has the expert accept or refute each score, and LC-001 lets a section go back to draft. C-004 leaves section 9, and teams without the domain are a non-goal. Eight glossary terms cite a verified source, and each defined word has one meaning. Open questions are single and due before REL-001. The body lists the change by section. This is a minor version: new content, with no structural change.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Fixes the blocking defects that do not wait on evidence. 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report under TR-006, and REL-002 includes it. References to the moved items are updated across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Adds the links the specification review asked for. Each problem names its persona, and each objective names the problems it addresses and the open question that will establish its baseline. Competitors have a kind, with the status quo named. Each decision rule names the stages it governs. Scenarios say where the user meets them, SC-001 names the stages it spans, and each screen or report scenario links its wireframes. The root's measure states its target. Section 11 now says D-002 and D-003 fall on R1's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No change to the set. The product changed, and the set and the product share one version number.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