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2"/>
        <w:gridCol w:w="3429"/>
        <w:gridCol w:w="1282"/>
        <w:gridCol w:w="1348"/>
        <w:gridCol w:w="1413"/>
      </w:tblGrid>
      <w:tr>
        <w:tc>
          <w:tcPr>
            <w:tcW w:type="dxa" w:w="1023"/>
            <w:tcBorders>
              <w:bottom w:val="single" w:sz="12" w:space="4" w:color="16181D"/>
            </w:tcBorders>
          </w:tcPr>
          <w:p>
            <w:pPr>
              <w:spacing w:after="60"/>
            </w:pPr>
            <w:r/>
            <w:r>
              <w:rPr>
                <w:rFonts w:ascii="Calibri" w:hAnsi="Calibri"/>
                <w:b/>
                <w:caps/>
                <w:color w:val="5C6370"/>
                <w:sz w:val="15"/>
              </w:rPr>
              <w:t>§</w:t>
            </w:r>
          </w:p>
        </w:tc>
        <w:tc>
          <w:tcPr>
            <w:tcW w:type="dxa" w:w="3429"/>
            <w:tcBorders>
              <w:bottom w:val="single" w:sz="12" w:space="4" w:color="16181D"/>
            </w:tcBorders>
          </w:tcPr>
          <w:p>
            <w:pPr>
              <w:spacing w:after="60"/>
            </w:pPr>
            <w:r/>
            <w:r>
              <w:rPr>
                <w:rFonts w:ascii="Calibri" w:hAnsi="Calibri"/>
                <w:b/>
                <w:caps/>
                <w:color w:val="5C6370"/>
                <w:sz w:val="15"/>
              </w:rPr>
              <w:t>Section</w:t>
            </w:r>
          </w:p>
        </w:tc>
        <w:tc>
          <w:tcPr>
            <w:tcW w:type="dxa" w:w="1283"/>
            <w:tcBorders>
              <w:bottom w:val="single" w:sz="12" w:space="4" w:color="16181D"/>
            </w:tcBorders>
          </w:tcPr>
          <w:p>
            <w:pPr>
              <w:spacing w:after="60"/>
            </w:pPr>
            <w:r/>
            <w:r>
              <w:rPr>
                <w:rFonts w:ascii="Calibri" w:hAnsi="Calibri"/>
                <w:b/>
                <w:caps/>
                <w:color w:val="5C6370"/>
                <w:sz w:val="15"/>
              </w:rPr>
              <w:t>Status</w:t>
            </w:r>
          </w:p>
        </w:tc>
        <w:tc>
          <w:tcPr>
            <w:tcW w:type="dxa" w:w="1348"/>
            <w:tcBorders>
              <w:bottom w:val="single" w:sz="12" w:space="4" w:color="16181D"/>
            </w:tcBorders>
          </w:tcPr>
          <w:p>
            <w:pPr>
              <w:spacing w:after="60"/>
            </w:pPr>
            <w:r/>
            <w:r>
              <w:rPr>
                <w:rFonts w:ascii="Calibri" w:hAnsi="Calibri"/>
                <w:b/>
                <w:caps/>
                <w:color w:val="5C6370"/>
                <w:sz w:val="15"/>
              </w:rPr>
              <w:t>Grade</w:t>
            </w:r>
          </w:p>
        </w:tc>
        <w:tc>
          <w:tcPr>
            <w:tcW w:type="dxa" w:w="1413"/>
            <w:tcBorders>
              <w:bottom w:val="single" w:sz="12" w:space="4" w:color="16181D"/>
            </w:tcBorders>
          </w:tcPr>
          <w:p>
            <w:pPr>
              <w:spacing w:after="60"/>
            </w:pPr>
            <w:r/>
            <w:r>
              <w:rPr>
                <w:rFonts w:ascii="Calibri" w:hAnsi="Calibri"/>
                <w:b/>
                <w:caps/>
                <w:color w:val="5C6370"/>
                <w:sz w:val="15"/>
              </w:rPr>
              <w:t>Blocking</w:t>
            </w:r>
          </w:p>
        </w:tc>
      </w:tr>
      <w:tr>
        <w:tc>
          <w:tcPr>
            <w:tcW w:type="dxa" w:w="1023"/>
            <w:tcBorders>
              <w:bottom w:val="single" w:sz="6" w:space="4" w:color="D8DCE3"/>
            </w:tcBorders>
          </w:tcPr>
          <w:p>
            <w:pPr>
              <w:spacing w:after="60"/>
            </w:pPr>
            <w:r/>
            <w:r>
              <w:rPr>
                <w:rFonts w:ascii="Georgia" w:hAnsi="Georgia"/>
                <w:sz w:val="18"/>
              </w:rPr>
              <w:t>1</w:t>
            </w:r>
          </w:p>
        </w:tc>
        <w:tc>
          <w:tcPr>
            <w:tcW w:type="dxa" w:w="3429"/>
            <w:tcBorders>
              <w:bottom w:val="single" w:sz="6" w:space="4" w:color="D8DCE3"/>
            </w:tcBorders>
          </w:tcPr>
          <w:p>
            <w:pPr>
              <w:spacing w:after="60"/>
            </w:pPr>
            <w:r/>
            <w:r>
              <w:rPr>
                <w:rFonts w:ascii="Georgia" w:hAnsi="Georgia"/>
                <w:sz w:val="18"/>
              </w:rPr>
              <w:t>Problem and opportunity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2</w:t>
            </w:r>
          </w:p>
        </w:tc>
        <w:tc>
          <w:tcPr>
            <w:tcW w:type="dxa" w:w="3429"/>
            <w:tcBorders>
              <w:bottom w:val="single" w:sz="6" w:space="4" w:color="D8DCE3"/>
            </w:tcBorders>
          </w:tcPr>
          <w:p>
            <w:pPr>
              <w:spacing w:after="60"/>
            </w:pPr>
            <w:r/>
            <w:r>
              <w:rPr>
                <w:rFonts w:ascii="Georgia" w:hAnsi="Georgia"/>
                <w:sz w:val="18"/>
              </w:rPr>
              <w:t>Target customer and market</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3</w:t>
            </w:r>
          </w:p>
        </w:tc>
        <w:tc>
          <w:tcPr>
            <w:tcW w:type="dxa" w:w="3429"/>
            <w:tcBorders>
              <w:bottom w:val="single" w:sz="6" w:space="4" w:color="D8DCE3"/>
            </w:tcBorders>
          </w:tcPr>
          <w:p>
            <w:pPr>
              <w:spacing w:after="60"/>
            </w:pPr>
            <w:r/>
            <w:r>
              <w:rPr>
                <w:rFonts w:ascii="Georgia" w:hAnsi="Georgia"/>
                <w:sz w:val="18"/>
              </w:rPr>
              <w:t>Business objectives and success metrics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4</w:t>
            </w:r>
          </w:p>
        </w:tc>
        <w:tc>
          <w:tcPr>
            <w:tcW w:type="dxa" w:w="3429"/>
            <w:tcBorders>
              <w:bottom w:val="single" w:sz="6" w:space="4" w:color="D8DCE3"/>
            </w:tcBorders>
          </w:tcPr>
          <w:p>
            <w:pPr>
              <w:spacing w:after="60"/>
            </w:pPr>
            <w:r/>
            <w:r>
              <w:rPr>
                <w:rFonts w:ascii="Georgia" w:hAnsi="Georgia"/>
                <w:sz w:val="18"/>
              </w:rPr>
              <w:t>Users and personas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User journeys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77/100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Scenarios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6</w:t>
            </w:r>
          </w:p>
        </w:tc>
        <w:tc>
          <w:tcPr>
            <w:tcW w:type="dxa" w:w="3429"/>
            <w:tcBorders>
              <w:bottom w:val="single" w:sz="6" w:space="4" w:color="D8DCE3"/>
            </w:tcBorders>
          </w:tcPr>
          <w:p>
            <w:pPr>
              <w:spacing w:after="60"/>
            </w:pPr>
            <w:r/>
            <w:r>
              <w:rPr>
                <w:rFonts w:ascii="Georgia" w:hAnsi="Georgia"/>
                <w:sz w:val="18"/>
              </w:rPr>
              <w:t>Scope</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1</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Wireframes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8</w:t>
            </w:r>
          </w:p>
        </w:tc>
        <w:tc>
          <w:tcPr>
            <w:tcW w:type="dxa" w:w="3429"/>
            <w:tcBorders>
              <w:bottom w:val="single" w:sz="6" w:space="4" w:color="D8DCE3"/>
            </w:tcBorders>
          </w:tcPr>
          <w:p>
            <w:pPr>
              <w:spacing w:after="60"/>
            </w:pPr>
            <w:r/>
            <w:r>
              <w:rPr>
                <w:rFonts w:ascii="Georgia" w:hAnsi="Georgia"/>
                <w:sz w:val="18"/>
              </w:rPr>
              <w:t>Non-functional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82/100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9</w:t>
            </w:r>
          </w:p>
        </w:tc>
        <w:tc>
          <w:tcPr>
            <w:tcW w:type="dxa" w:w="3429"/>
            <w:tcBorders>
              <w:bottom w:val="single" w:sz="6" w:space="4" w:color="D8DCE3"/>
            </w:tcBorders>
          </w:tcPr>
          <w:p>
            <w:pPr>
              <w:spacing w:after="60"/>
            </w:pPr>
            <w:r/>
            <w:r>
              <w:rPr>
                <w:rFonts w:ascii="Georgia" w:hAnsi="Georgia"/>
                <w:sz w:val="18"/>
              </w:rPr>
              <w:t>Constraints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100/100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10</w:t>
            </w:r>
          </w:p>
        </w:tc>
        <w:tc>
          <w:tcPr>
            <w:tcW w:type="dxa" w:w="3429"/>
            <w:tcBorders>
              <w:bottom w:val="single" w:sz="6" w:space="4" w:color="D8DCE3"/>
            </w:tcBorders>
          </w:tcPr>
          <w:p>
            <w:pPr>
              <w:spacing w:after="60"/>
            </w:pPr>
            <w:r/>
            <w:r>
              <w:rPr>
                <w:rFonts w:ascii="Georgia" w:hAnsi="Georgia"/>
                <w:sz w:val="18"/>
              </w:rPr>
              <w:t>Decision rights and trust rules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11</w:t>
            </w:r>
          </w:p>
        </w:tc>
        <w:tc>
          <w:tcPr>
            <w:tcW w:type="dxa" w:w="3429"/>
            <w:tcBorders>
              <w:bottom w:val="single" w:sz="6" w:space="4" w:color="D8DCE3"/>
            </w:tcBorders>
          </w:tcPr>
          <w:p>
            <w:pPr>
              <w:spacing w:after="60"/>
            </w:pPr>
            <w:r/>
            <w:r>
              <w:rPr>
                <w:rFonts w:ascii="Georgia" w:hAnsi="Georgia"/>
                <w:sz w:val="18"/>
              </w:rPr>
              <w:t>Assumptions, risks and dependencies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12</w:t>
            </w:r>
          </w:p>
        </w:tc>
        <w:tc>
          <w:tcPr>
            <w:tcW w:type="dxa" w:w="3429"/>
            <w:tcBorders>
              <w:bottom w:val="single" w:sz="6" w:space="4" w:color="D8DCE3"/>
            </w:tcBorders>
          </w:tcPr>
          <w:p>
            <w:pPr>
              <w:spacing w:after="60"/>
            </w:pPr>
            <w:r/>
            <w:r>
              <w:rPr>
                <w:rFonts w:ascii="Georgia" w:hAnsi="Georgia"/>
                <w:sz w:val="18"/>
              </w:rPr>
              <w:t>Open questions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13</w:t>
            </w:r>
          </w:p>
        </w:tc>
        <w:tc>
          <w:tcPr>
            <w:tcW w:type="dxa" w:w="3429"/>
            <w:tcBorders>
              <w:bottom w:val="single" w:sz="6" w:space="4" w:color="D8DCE3"/>
            </w:tcBorders>
          </w:tcPr>
          <w:p>
            <w:pPr>
              <w:spacing w:after="60"/>
            </w:pPr>
            <w:r/>
            <w:r>
              <w:rPr>
                <w:rFonts w:ascii="Georgia" w:hAnsi="Georgia"/>
                <w:sz w:val="18"/>
              </w:rPr>
              <w:t>Release plan</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14</w:t>
            </w:r>
          </w:p>
        </w:tc>
        <w:tc>
          <w:tcPr>
            <w:tcW w:type="dxa" w:w="3429"/>
            <w:tcBorders>
              <w:bottom w:val="single" w:sz="6" w:space="4" w:color="D8DCE3"/>
            </w:tcBorders>
          </w:tcPr>
          <w:p>
            <w:pPr>
              <w:spacing w:after="60"/>
            </w:pPr>
            <w:r/>
            <w:r>
              <w:rPr>
                <w:rFonts w:ascii="Georgia" w:hAnsi="Georgia"/>
                <w:sz w:val="18"/>
              </w:rPr>
              <w:t>Glossary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65/100</w:t>
            </w:r>
          </w:p>
        </w:tc>
        <w:tc>
          <w:tcPr>
            <w:tcW w:type="dxa" w:w="1413"/>
            <w:tcBorders>
              <w:bottom w:val="single" w:sz="6" w:space="4" w:color="D8DCE3"/>
            </w:tcBorders>
          </w:tcPr>
          <w:p>
            <w:pPr>
              <w:spacing w:after="60"/>
            </w:pPr>
            <w:r/>
            <w:r>
              <w:rPr>
                <w:rFonts w:ascii="Georgia" w:hAnsi="Georgia"/>
                <w:sz w:val="18"/>
              </w:rPr>
              <w:t>4</w:t>
            </w:r>
          </w:p>
        </w:tc>
      </w:tr>
      <w:tr>
        <w:tc>
          <w:tcPr>
            <w:tcW w:type="dxa" w:w="1023"/>
            <w:tcBorders>
              <w:bottom w:val="single" w:sz="6" w:space="4" w:color="D8DCE3"/>
            </w:tcBorders>
          </w:tcPr>
          <w:p>
            <w:pPr>
              <w:spacing w:after="60"/>
            </w:pPr>
            <w:r/>
            <w:r>
              <w:rPr>
                <w:rFonts w:ascii="Georgia" w:hAnsi="Georgia"/>
                <w:sz w:val="18"/>
              </w:rPr>
              <w:t>15</w:t>
            </w:r>
          </w:p>
        </w:tc>
        <w:tc>
          <w:tcPr>
            <w:tcW w:type="dxa" w:w="3429"/>
            <w:tcBorders>
              <w:bottom w:val="single" w:sz="6" w:space="4" w:color="D8DCE3"/>
            </w:tcBorders>
          </w:tcPr>
          <w:p>
            <w:pPr>
              <w:spacing w:after="60"/>
            </w:pPr>
            <w:r/>
            <w:r>
              <w:rPr>
                <w:rFonts w:ascii="Georgia" w:hAnsi="Georgia"/>
                <w:sz w:val="18"/>
              </w:rPr>
              <w:t>Change log and approvals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63/100</w:t>
            </w:r>
          </w:p>
        </w:tc>
        <w:tc>
          <w:tcPr>
            <w:tcW w:type="dxa" w:w="1413"/>
            <w:tcBorders>
              <w:bottom w:val="single" w:sz="6" w:space="4" w:color="D8DCE3"/>
            </w:tcBorders>
          </w:tcPr>
          <w:p>
            <w:pPr>
              <w:spacing w:after="60"/>
            </w:pPr>
            <w:r/>
            <w:r>
              <w:rPr>
                <w:rFonts w:ascii="Georgia" w:hAnsi="Georgia"/>
                <w:sz w:val="18"/>
              </w:rPr>
              <w:t>1</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23)}</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77/100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78/100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100/100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decision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65/100 · 4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r>
        <w:tc>
          <w:tcPr>
            <w:tcW w:type="dxa" w:w="4628"/>
            <w:tcBorders>
              <w:bottom w:val="single" w:sz="6" w:space="4" w:color="D8DCE3"/>
            </w:tcBorders>
          </w:tcPr>
          <w:p>
            <w:pPr>
              <w:spacing w:after="60"/>
            </w:pPr>
            <w:r/>
            <w:r>
              <w:rPr>
                <w:rFonts w:ascii="Georgia" w:hAnsi="Georgia"/>
                <w:sz w:val="18"/>
              </w:rPr>
              <w:t>Buildability review</w:t>
            </w:r>
          </w:p>
        </w:tc>
        <w:tc>
          <w:tcPr>
            <w:tcW w:type="dxa" w:w="4387"/>
            <w:tcBorders>
              <w:bottom w:val="single" w:sz="6" w:space="4" w:color="D8DCE3"/>
            </w:tcBorders>
          </w:tcPr>
          <w:p>
            <w:pPr>
              <w:spacing w:after="60"/>
            </w:pPr>
            <w:r/>
            <w:r>
              <w:rPr>
                <w:rFonts w:ascii="Georgia" w:hAnsi="Georgia"/>
                <w:sz w:val="18"/>
              </w:rPr>
              <w:t>A grading pass</w:t>
            </w:r>
          </w:p>
        </w:tc>
      </w:tr>
      <w:tr>
        <w:tc>
          <w:tcPr>
            <w:tcW w:type="dxa" w:w="4628"/>
            <w:tcBorders>
              <w:bottom w:val="single" w:sz="6" w:space="4" w:color="D8DCE3"/>
            </w:tcBorders>
          </w:tcPr>
          <w:p>
            <w:pPr>
              <w:spacing w:after="60"/>
            </w:pPr>
            <w:r/>
            <w:r>
              <w:rPr>
                <w:rFonts w:ascii="Georgia" w:hAnsi="Georgia"/>
                <w:sz w:val="18"/>
              </w:rPr>
              <w:t>Finding</w:t>
            </w:r>
          </w:p>
        </w:tc>
        <w:tc>
          <w:tcPr>
            <w:tcW w:type="dxa" w:w="4387"/>
            <w:tcBorders>
              <w:bottom w:val="single" w:sz="6" w:space="4" w:color="D8DCE3"/>
            </w:tcBorders>
          </w:tcPr>
          <w:p>
            <w:pPr>
              <w:spacing w:after="60"/>
            </w:pPr>
            <w:r/>
            <w:r>
              <w:rPr>
                <w:rFonts w:ascii="Georgia" w:hAnsi="Georgia"/>
                <w:sz w:val="18"/>
              </w:rPr>
              <w:t>A blocking defect</w:t>
            </w:r>
          </w:p>
        </w:tc>
      </w:tr>
      <w:tr>
        <w:tc>
          <w:tcPr>
            <w:tcW w:type="dxa" w:w="4628"/>
            <w:tcBorders>
              <w:bottom w:val="single" w:sz="6" w:space="4" w:color="D8DCE3"/>
            </w:tcBorders>
          </w:tcPr>
          <w:p>
            <w:pPr>
              <w:spacing w:after="60"/>
            </w:pPr>
            <w:r/>
            <w:r>
              <w:rPr>
                <w:rFonts w:ascii="Georgia" w:hAnsi="Georgia"/>
                <w:sz w:val="18"/>
              </w:rPr>
              <w:t>Root document</w:t>
            </w:r>
          </w:p>
        </w:tc>
        <w:tc>
          <w:tcPr>
            <w:tcW w:type="dxa" w:w="4387"/>
            <w:tcBorders>
              <w:bottom w:val="single" w:sz="6" w:space="4" w:color="D8DCE3"/>
            </w:tcBorders>
          </w:tcPr>
          <w:p>
            <w:pPr>
              <w:spacing w:after="60"/>
            </w:pPr>
            <w:r/>
            <w:r>
              <w:rPr>
                <w:rFonts w:ascii="Georgia" w:hAnsi="Georgia"/>
                <w:sz w:val="18"/>
              </w:rPr>
              <w:t>Section 1</w:t>
            </w:r>
          </w:p>
        </w:tc>
      </w:tr>
      <w:tr>
        <w:tc>
          <w:tcPr>
            <w:tcW w:type="dxa" w:w="4628"/>
            <w:tcBorders>
              <w:bottom w:val="single" w:sz="6" w:space="4" w:color="D8DCE3"/>
            </w:tcBorders>
          </w:tcPr>
          <w:p>
            <w:pPr>
              <w:spacing w:after="60"/>
            </w:pPr>
            <w:r/>
            <w:r>
              <w:rPr>
                <w:rFonts w:ascii="Georgia" w:hAnsi="Georgia"/>
                <w:sz w:val="18"/>
              </w:rPr>
              <w:t>Approver</w:t>
            </w:r>
          </w:p>
        </w:tc>
        <w:tc>
          <w:tcPr>
            <w:tcW w:type="dxa" w:w="4387"/>
            <w:tcBorders>
              <w:bottom w:val="single" w:sz="6" w:space="4" w:color="D8DCE3"/>
            </w:tcBorders>
          </w:tcPr>
          <w:p>
            <w:pPr>
              <w:spacing w:after="60"/>
            </w:pPr>
            <w:r/>
            <w:r>
              <w:rPr>
                <w:rFonts w:ascii="Georgia" w:hAnsi="Georgia"/>
                <w:sz w:val="18"/>
              </w:rPr>
              <w:t>The expert</w:t>
            </w:r>
          </w:p>
        </w:tc>
      </w:tr>
      <w:tr>
        <w:tc>
          <w:tcPr>
            <w:tcW w:type="dxa" w:w="4628"/>
            <w:tcBorders>
              <w:bottom w:val="single" w:sz="6" w:space="4" w:color="D8DCE3"/>
            </w:tcBorders>
          </w:tcPr>
          <w:p>
            <w:pPr>
              <w:spacing w:after="60"/>
            </w:pPr>
            <w:r/>
            <w:r>
              <w:rPr>
                <w:rFonts w:ascii="Georgia" w:hAnsi="Georgia"/>
                <w:sz w:val="18"/>
              </w:rPr>
              <w:t>Condition</w:t>
            </w:r>
          </w:p>
        </w:tc>
        <w:tc>
          <w:tcPr>
            <w:tcW w:type="dxa" w:w="4387"/>
            <w:tcBorders>
              <w:bottom w:val="single" w:sz="6" w:space="4" w:color="D8DCE3"/>
            </w:tcBorders>
          </w:tcPr>
          <w:p>
            <w:pPr>
              <w:spacing w:after="60"/>
            </w:pPr>
            <w:r/>
            <w:r>
              <w:rPr>
                <w:rFonts w:ascii="Georgia" w:hAnsi="Georgia"/>
                <w:sz w:val="18"/>
              </w:rPr>
              <w:t>A constraint</w:t>
            </w:r>
          </w:p>
        </w:tc>
      </w:tr>
      <w:tr>
        <w:tc>
          <w:tcPr>
            <w:tcW w:type="dxa" w:w="4628"/>
            <w:tcBorders>
              <w:bottom w:val="single" w:sz="6" w:space="4" w:color="D8DCE3"/>
            </w:tcBorders>
          </w:tcPr>
          <w:p>
            <w:pPr>
              <w:spacing w:after="60"/>
            </w:pPr>
            <w:r/>
            <w:r>
              <w:rPr>
                <w:rFonts w:ascii="Georgia" w:hAnsi="Georgia"/>
                <w:sz w:val="18"/>
              </w:rPr>
              <w:t>Constraint</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Objective</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Baseline</w:t>
            </w:r>
          </w:p>
        </w:tc>
        <w:tc>
          <w:tcPr>
            <w:tcW w:type="dxa" w:w="4387"/>
            <w:tcBorders>
              <w:bottom w:val="single" w:sz="6" w:space="4" w:color="D8DCE3"/>
            </w:tcBorders>
          </w:tcPr>
          <w:p>
            <w:pPr>
              <w:spacing w:after="60"/>
            </w:pPr>
            <w:r/>
            <w:r>
              <w:rPr>
                <w:rFonts w:ascii="Georgia" w:hAnsi="Georgia"/>
                <w:sz w:val="18"/>
              </w:rPr>
              <w:t>A target</w:t>
            </w:r>
          </w:p>
        </w:tc>
      </w:tr>
      <w:tr>
        <w:tc>
          <w:tcPr>
            <w:tcW w:type="dxa" w:w="4628"/>
            <w:tcBorders>
              <w:bottom w:val="single" w:sz="6" w:space="4" w:color="D8DCE3"/>
            </w:tcBorders>
          </w:tcPr>
          <w:p>
            <w:pPr>
              <w:spacing w:after="60"/>
            </w:pPr>
            <w:r/>
            <w:r>
              <w:rPr>
                <w:rFonts w:ascii="Georgia" w:hAnsi="Georgia"/>
                <w:sz w:val="18"/>
              </w:rPr>
              <w:t>Version</w:t>
            </w:r>
          </w:p>
        </w:tc>
        <w:tc>
          <w:tcPr>
            <w:tcW w:type="dxa" w:w="4387"/>
            <w:tcBorders>
              <w:bottom w:val="single" w:sz="6" w:space="4" w:color="D8DCE3"/>
            </w:tcBorders>
          </w:tcPr>
          <w:p>
            <w:pPr>
              <w:spacing w:after="60"/>
            </w:pPr>
            <w:r/>
            <w:r>
              <w:rPr>
                <w:rFonts w:ascii="Georgia" w:hAnsi="Georgia"/>
                <w:sz w:val="18"/>
              </w:rPr>
              <w:t>A release of the product</w:t>
            </w:r>
          </w:p>
        </w:tc>
      </w:tr>
      <w:tr>
        <w:tc>
          <w:tcPr>
            <w:tcW w:type="dxa" w:w="4628"/>
            <w:tcBorders>
              <w:bottom w:val="single" w:sz="6" w:space="4" w:color="D8DCE3"/>
            </w:tcBorders>
          </w:tcPr>
          <w:p>
            <w:pPr>
              <w:spacing w:after="60"/>
            </w:pPr>
            <w:r/>
            <w:r>
              <w:rPr>
                <w:rFonts w:ascii="Georgia" w:hAnsi="Georgia"/>
                <w:sz w:val="18"/>
              </w:rPr>
              <w:t>Reading order</w:t>
            </w:r>
          </w:p>
        </w:tc>
        <w:tc>
          <w:tcPr>
            <w:tcW w:type="dxa" w:w="4387"/>
            <w:tcBorders>
              <w:bottom w:val="single" w:sz="6" w:space="4" w:color="D8DCE3"/>
            </w:tcBorders>
          </w:tcPr>
          <w:p>
            <w:pPr>
              <w:spacing w:after="60"/>
            </w:pPr>
            <w:r/>
            <w:r>
              <w:rPr>
                <w:rFonts w:ascii="Georgia" w:hAnsi="Georgia"/>
                <w:sz w:val="18"/>
              </w:rPr>
              <w:t>The file numbers</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prefixed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file numbers. File prefixes and section numbers differ from section 5 onward, but both put the documents in the same order.</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9C2B2B"/>
          <w:sz w:val="15"/>
        </w:rPr>
        <w:t>draft · 63/100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plugin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plugin.</w:t>
      </w:r>
    </w:p>
    <w:p>
      <w:pPr>
        <w:pStyle w:val="ListBullet"/>
        <w:spacing w:after="60"/>
      </w:pPr>
      <w:r>
        <w:t>A change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is a minor version, 0.9.0.</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C-004 leaves section 9, which now holds no constraints. Its rule lives in TR-005 and FR-006, and its id is not reused. The plugin's constraints schema accepts an empty list.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