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 of: 2026-10-26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 of: 2026-10-26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 of: 2026-10-27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 of: 2026-10-26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who already holds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are a non-goal in section 6. They already employ the product skill and want the domain, which this product does not supply.</w:t>
      </w:r>
    </w:p>
    <w:p>
      <w:pPr>
        <w:pStyle w:val="Heading3"/>
      </w:pPr>
      <w:r>
        <w:t>Why we win</w:t>
      </w:r>
    </w:p>
    <w:p>
      <w:r>
        <w:rPr>
          <w:rFonts w:ascii="Georgia" w:hAnsi="Georgia"/>
        </w:rPr>
        <w:t>The expert confirmed each sponsor's words on 2026-10-27.</w:t>
      </w:r>
    </w:p>
    <w:p>
      <w:pPr>
        <w:pStyle w:val="ListBullet"/>
        <w:spacing w:after="60"/>
      </w:pPr>
      <w:r>
        <w:rPr>
          <w:b/>
        </w:rPr>
        <w:t>S-001, the consultancy partner:</w:t>
      </w:r>
      <w:r>
        <w:t xml:space="preserve"> "Before we hand the PRD to the client's engineers, I can see which parts they could not build from, and my senior people bill fewer hours fixing it later." The partner weighs it against the consultant's billable hours.</w:t>
      </w:r>
    </w:p>
    <w:p>
      <w:pPr>
        <w:pStyle w:val="ListBullet"/>
        <w:spacing w:after="60"/>
      </w:pPr>
      <w:r>
        <w:rPr>
          <w:b/>
        </w:rPr>
        <w:t>S-002, the director:</w:t>
      </w:r>
      <w:r>
        <w:t xml:space="preserve"> "Before I approve the budget, I can see which parts of the PRD my team could not build from." The director weighs it against contracting a product manager without the domain, whose day rate is Q-013.</w:t>
      </w:r>
    </w:p>
    <w:p>
      <w:r>
        <w:rPr>
          <w:rFonts w:ascii="Georgia" w:hAnsi="Georgia"/>
        </w:rPr>
        <w:t>In S-002 the organization works under regulation, so its PRDs may cite regulations. The set states no regulation the expert did not supply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Any cost edge is unproven until Q-013. A skeptical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PRDs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organizations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project.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our own expert did not supply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sees in one document each section's grade and every blocking defect, with the section it is in (FR-013). The sponsor can open any set written with this product and look for the same list in a ChatPRD draft.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buying, the buyer can open any set written with this product, such as this one, and see which sections are not ready, with the quoted reason for each. A general-purpose conversation shows no such list.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project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buyer gets a PRD whose domain facts come from the person who holds them, rather than facts filled in by someone without the domain. Any cost advantage is unproven until Q-013 gives the day rate. The buyer can check the PRD for each fact the expert could not supply: each one has a named decider and a date.</w:t>
            </w:r>
          </w:p>
        </w:tc>
      </w:tr>
    </w:tbl>
    <w:p>
      <w:pPr>
        <w:spacing w:after="40"/>
      </w:pPr>
    </w:p>
    <w:p>
      <w:pPr>
        <w:keepNext/>
        <w:spacing w:before="220" w:after="60"/>
        <w:ind w:left="115"/>
        <w:pBdr>
          <w:left w:val="single" w:sz="18" w:space="0" w:color="1F4E79"/>
        </w:pBdr>
      </w:pPr>
      <w:r>
        <w:rPr>
          <w:rFonts w:ascii="Calibri" w:hAnsi="Calibri"/>
          <w:b/>
          <w:sz w:val="20"/>
        </w:rPr>
        <w:t>Contracting a product manager who already holds the 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Product judgement and the domain in one person,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 quality edge. The buyer gets availability only: the work starts when their own domain expert can start, with no search for a person who holds both.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each fact the PRD does not yet know, with a named person and a date to settle it,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 domain expert, or a product manager who speaks for one, reaches an approved PRD in days.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whether the set may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the budget holder (director or partner), who is also the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PER-004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94/100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5486400" cy="2032666"/>
            <wp:docPr id="2" name="Picture 2"/>
            <wp:cNvGraphicFramePr>
              <a:graphicFrameLocks noChangeAspect="1"/>
            </wp:cNvGraphicFramePr>
            <a:graphic>
              <a:graphicData uri="http://schemas.openxmlformats.org/drawingml/2006/picture">
                <pic:pic>
                  <pic:nvPicPr>
                    <pic:cNvPr id="0" name="J-001-satisfaction.png"/>
                    <pic:cNvPicPr/>
                  </pic:nvPicPr>
                  <pic:blipFill>
                    <a:blip r:embed="rId10"/>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May the set be offered to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3" name="Picture 3"/>
            <wp:cNvGraphicFramePr>
              <a:graphicFrameLocks noChangeAspect="1"/>
            </wp:cNvGraphicFramePr>
            <a:graphic>
              <a:graphicData uri="http://schemas.openxmlformats.org/drawingml/2006/picture">
                <pic:pic>
                  <pic:nvPicPr>
                    <pic:cNvPr id="0" name="J-002.png"/>
                    <pic:cNvPicPr/>
                  </pic:nvPicPr>
                  <pic:blipFill>
                    <a:blip r:embed="rId11"/>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4" name="Picture 4"/>
            <wp:cNvGraphicFramePr>
              <a:graphicFrameLocks noChangeAspect="1"/>
            </wp:cNvGraphicFramePr>
            <a:graphic>
              <a:graphicData uri="http://schemas.openxmlformats.org/drawingml/2006/picture">
                <pic:pic>
                  <pic:nvPicPr>
                    <pic:cNvPr id="0" name="J-002-satisfaction.png"/>
                    <pic:cNvPicPr/>
                  </pic:nvPicPr>
                  <pic:blipFill>
                    <a:blip r:embed="rId12"/>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May the set be offered to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 · 89/100 · no blocking defects</w:t>
      </w:r>
    </w:p>
    <w:p>
      <w:pPr>
        <w:jc w:val="center"/>
      </w:pPr>
      <w:r>
        <w:drawing>
          <wp:inline xmlns:a="http://schemas.openxmlformats.org/drawingml/2006/main" xmlns:pic="http://schemas.openxmlformats.org/drawingml/2006/picture">
            <wp:extent cx="2062065" cy="7315200"/>
            <wp:docPr id="5" name="Picture 5"/>
            <wp:cNvGraphicFramePr>
              <a:graphicFrameLocks noChangeAspect="1"/>
            </wp:cNvGraphicFramePr>
            <a:graphic>
              <a:graphicData uri="http://schemas.openxmlformats.org/drawingml/2006/picture">
                <pic:pic>
                  <pic:nvPicPr>
                    <pic:cNvPr id="0" name="SC-001.png"/>
                    <pic:cNvPicPr/>
                  </pic:nvPicPr>
                  <pic:blipFill>
                    <a:blip r:embed="rId13"/>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6" name="Picture 6"/>
            <wp:cNvGraphicFramePr>
              <a:graphicFrameLocks noChangeAspect="1"/>
            </wp:cNvGraphicFramePr>
            <a:graphic>
              <a:graphicData uri="http://schemas.openxmlformats.org/drawingml/2006/picture">
                <pic:pic>
                  <pic:nvPicPr>
                    <pic:cNvPr id="0" name="LC-001.png"/>
                    <pic:cNvPicPr/>
                  </pic:nvPicPr>
                  <pic:blipFill>
                    <a:blip r:embed="rId14"/>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7" name="Picture 7"/>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8" name="Picture 8"/>
            <wp:cNvGraphicFramePr>
              <a:graphicFrameLocks noChangeAspect="1"/>
            </wp:cNvGraphicFramePr>
            <a:graphic>
              <a:graphicData uri="http://schemas.openxmlformats.org/drawingml/2006/picture">
                <pic:pic>
                  <pic:nvPicPr>
                    <pic:cNvPr id="0" name="SC-002.png"/>
                    <pic:cNvPicPr/>
                  </pic:nvPicPr>
                  <pic:blipFill>
                    <a:blip r:embed="rId16"/>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9" name="Picture 9"/>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0" name="Picture 10"/>
            <wp:cNvGraphicFramePr>
              <a:graphicFrameLocks noChangeAspect="1"/>
            </wp:cNvGraphicFramePr>
            <a:graphic>
              <a:graphicData uri="http://schemas.openxmlformats.org/drawingml/2006/picture">
                <pic:pic>
                  <pic:nvPicPr>
                    <pic:cNvPr id="0" name="SC-003.png"/>
                    <pic:cNvPicPr/>
                  </pic:nvPicPr>
                  <pic:blipFill>
                    <a:blip r:embed="rId18"/>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1" name="Picture 11"/>
            <wp:cNvGraphicFramePr>
              <a:graphicFrameLocks noChangeAspect="1"/>
            </wp:cNvGraphicFramePr>
            <a:graphic>
              <a:graphicData uri="http://schemas.openxmlformats.org/drawingml/2006/picture">
                <pic:pic>
                  <pic:nvPicPr>
                    <pic:cNvPr id="0" name="SC-004.png"/>
                    <pic:cNvPicPr/>
                  </pic:nvPicPr>
                  <pic:blipFill>
                    <a:blip r:embed="rId19"/>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3" name="Picture 13"/>
            <wp:cNvGraphicFramePr>
              <a:graphicFrameLocks noChangeAspect="1"/>
            </wp:cNvGraphicFramePr>
            <a:graphic>
              <a:graphicData uri="http://schemas.openxmlformats.org/drawingml/2006/picture">
                <pic:pic>
                  <pic:nvPicPr>
                    <pic:cNvPr id="0" name="SC-005.png"/>
                    <pic:cNvPicPr/>
                  </pic:nvPicPr>
                  <pic:blipFill>
                    <a:blip r:embed="rId21"/>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4" name="Picture 14"/>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5" name="Picture 15"/>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6" name="Picture 16"/>
            <wp:cNvGraphicFramePr>
              <a:graphicFrameLocks noChangeAspect="1"/>
            </wp:cNvGraphicFramePr>
            <a:graphic>
              <a:graphicData uri="http://schemas.openxmlformats.org/drawingml/2006/picture">
                <pic:pic>
                  <pic:nvPicPr>
                    <pic:cNvPr id="0" name="SC-006.png"/>
                    <pic:cNvPicPr/>
                  </pic:nvPicPr>
                  <pic:blipFill>
                    <a:blip r:embed="rId24"/>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7" name="Picture 17"/>
            <wp:cNvGraphicFramePr>
              <a:graphicFrameLocks noChangeAspect="1"/>
            </wp:cNvGraphicFramePr>
            <a:graphic>
              <a:graphicData uri="http://schemas.openxmlformats.org/drawingml/2006/picture">
                <pic:pic>
                  <pic:nvPicPr>
                    <pic:cNvPr id="0" name="SC-007.png"/>
                    <pic:cNvPicPr/>
                  </pic:nvPicPr>
                  <pic:blipFill>
                    <a:blip r:embed="rId25"/>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8" name="Picture 18"/>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19" name="Picture 19"/>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0" name="Picture 20"/>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1" name="Picture 2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2" name="Picture 22"/>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3" name="Picture 23"/>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r>
        <w:rPr>
          <w:rFonts w:ascii="Calibri" w:hAnsi="Calibri"/>
          <w:b/>
          <w:color w:val="1F4E79"/>
          <w:sz w:val="20"/>
        </w:rPr>
        <w:t>SC-007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meet the gate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FR-021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Name each approver before offering the set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21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Stop being asked once the section would already meet the 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Be told when the set states one item two different ways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FR-021  </w:t>
      </w:r>
      <w:r>
        <w:rPr>
          <w:rFonts w:ascii="Calibri" w:hAnsi="Calibri"/>
          <w:b/>
          <w:sz w:val="20"/>
        </w:rPr>
        <w:t>Name each approver of a set, by name and role, before offering it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4" name="Picture 24"/>
            <wp:cNvGraphicFramePr>
              <a:graphicFrameLocks noChangeAspect="1"/>
            </wp:cNvGraphicFramePr>
            <a:graphic>
              <a:graphicData uri="http://schemas.openxmlformats.org/drawingml/2006/picture">
                <pic:pic>
                  <pic:nvPicPr>
                    <pic:cNvPr id="0" name="WF-001.png"/>
                    <pic:cNvPicPr/>
                  </pic:nvPicPr>
                  <pic:blipFill>
                    <a:blip r:embed="rId28"/>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5" name="Picture 25"/>
            <wp:cNvGraphicFramePr>
              <a:graphicFrameLocks noChangeAspect="1"/>
            </wp:cNvGraphicFramePr>
            <a:graphic>
              <a:graphicData uri="http://schemas.openxmlformats.org/drawingml/2006/picture">
                <pic:pic>
                  <pic:nvPicPr>
                    <pic:cNvPr id="0" name="WF-002.png"/>
                    <pic:cNvPicPr/>
                  </pic:nvPicPr>
                  <pic:blipFill>
                    <a:blip r:embed="rId27"/>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6" name="Picture 26"/>
            <wp:cNvGraphicFramePr>
              <a:graphicFrameLocks noChangeAspect="1"/>
            </wp:cNvGraphicFramePr>
            <a:graphic>
              <a:graphicData uri="http://schemas.openxmlformats.org/drawingml/2006/picture">
                <pic:pic>
                  <pic:nvPicPr>
                    <pic:cNvPr id="0" name="WF-003.png"/>
                    <pic:cNvPicPr/>
                  </pic:nvPicPr>
                  <pic:blipFill>
                    <a:blip r:embed="rId30"/>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7" name="Picture 27"/>
            <wp:cNvGraphicFramePr>
              <a:graphicFrameLocks noChangeAspect="1"/>
            </wp:cNvGraphicFramePr>
            <a:graphic>
              <a:graphicData uri="http://schemas.openxmlformats.org/drawingml/2006/picture">
                <pic:pic>
                  <pic:nvPicPr>
                    <pic:cNvPr id="0" name="WF-004.png"/>
                    <pic:cNvPicPr/>
                  </pic:nvPicPr>
                  <pic:blipFill>
                    <a:blip r:embed="rId31"/>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8" name="Picture 28"/>
            <wp:cNvGraphicFramePr>
              <a:graphicFrameLocks noChangeAspect="1"/>
            </wp:cNvGraphicFramePr>
            <a:graphic>
              <a:graphicData uri="http://schemas.openxmlformats.org/drawingml/2006/picture">
                <pic:pic>
                  <pic:nvPicPr>
                    <pic:cNvPr id="0" name="WF-005.png"/>
                    <pic:cNvPicPr/>
                  </pic:nvPicPr>
                  <pic:blipFill>
                    <a:blip r:embed="rId23"/>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29" name="Picture 29"/>
            <wp:cNvGraphicFramePr>
              <a:graphicFrameLocks noChangeAspect="1"/>
            </wp:cNvGraphicFramePr>
            <a:graphic>
              <a:graphicData uri="http://schemas.openxmlformats.org/drawingml/2006/picture">
                <pic:pic>
                  <pic:nvPicPr>
                    <pic:cNvPr id="0" name="WF-006.png"/>
                    <pic:cNvPicPr/>
                  </pic:nvPicPr>
                  <pic:blipFill>
                    <a:blip r:embed="rId29"/>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0" name="Picture 30"/>
            <wp:cNvGraphicFramePr>
              <a:graphicFrameLocks noChangeAspect="1"/>
            </wp:cNvGraphicFramePr>
            <a:graphic>
              <a:graphicData uri="http://schemas.openxmlformats.org/drawingml/2006/picture">
                <pic:pic>
                  <pic:nvPicPr>
                    <pic:cNvPr id="0" name="WF-007.png"/>
                    <pic:cNvPicPr/>
                  </pic:nvPicPr>
                  <pic:blipFill>
                    <a:blip r:embed="rId26"/>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1" name="Picture 31"/>
            <wp:cNvGraphicFramePr>
              <a:graphicFrameLocks noChangeAspect="1"/>
            </wp:cNvGraphicFramePr>
            <a:graphic>
              <a:graphicData uri="http://schemas.openxmlformats.org/drawingml/2006/picture">
                <pic:pic>
                  <pic:nvPicPr>
                    <pic:cNvPr id="0" name="WF-008.png"/>
                    <pic:cNvPicPr/>
                  </pic:nvPicPr>
                  <pic:blipFill>
                    <a:blip r:embed="rId15"/>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2" name="Picture 32"/>
            <wp:cNvGraphicFramePr>
              <a:graphicFrameLocks noChangeAspect="1"/>
            </wp:cNvGraphicFramePr>
            <a:graphic>
              <a:graphicData uri="http://schemas.openxmlformats.org/drawingml/2006/picture">
                <pic:pic>
                  <pic:nvPicPr>
                    <pic:cNvPr id="0" name="WF-009.png"/>
                    <pic:cNvPicPr/>
                  </pic:nvPicPr>
                  <pic:blipFill>
                    <a:blip r:embed="rId22"/>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3" name="Picture 33"/>
            <wp:cNvGraphicFramePr>
              <a:graphicFrameLocks noChangeAspect="1"/>
            </wp:cNvGraphicFramePr>
            <a:graphic>
              <a:graphicData uri="http://schemas.openxmlformats.org/drawingml/2006/picture">
                <pic:pic>
                  <pic:nvPicPr>
                    <pic:cNvPr id="0" name="WF-010.png"/>
                    <pic:cNvPicPr/>
                  </pic:nvPicPr>
                  <pic:blipFill>
                    <a:blip r:embed="rId17"/>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91/100 · no blocking defects</w:t>
      </w:r>
    </w:p>
    <w:p>
      <w:pPr>
        <w:jc w:val="center"/>
      </w:pPr>
      <w:r>
        <w:drawing>
          <wp:inline xmlns:a="http://schemas.openxmlformats.org/drawingml/2006/main" xmlns:pic="http://schemas.openxmlformats.org/drawingml/2006/picture">
            <wp:extent cx="4186120" cy="7315200"/>
            <wp:docPr id="34" name="Picture 34"/>
            <wp:cNvGraphicFramePr>
              <a:graphicFrameLocks noChangeAspect="1"/>
            </wp:cNvGraphicFramePr>
            <a:graphic>
              <a:graphicData uri="http://schemas.openxmlformats.org/drawingml/2006/picture">
                <pic:pic>
                  <pic:nvPicPr>
                    <pic:cNvPr id="0" name="decision-rights.png"/>
                    <pic:cNvPicPr/>
                  </pic:nvPicPr>
                  <pic:blipFill>
                    <a:blip r:embed="rId32"/>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4"/>
        <w:gridCol w:w="2861"/>
        <w:gridCol w:w="1220"/>
        <w:gridCol w:w="1642"/>
        <w:gridCol w:w="1596"/>
      </w:tblGrid>
      <w:tr>
        <w:tc>
          <w:tcPr>
            <w:tcW w:type="dxa" w:w="1174"/>
            <w:tcBorders>
              <w:bottom w:val="single" w:sz="12" w:space="4" w:color="16181D"/>
            </w:tcBorders>
          </w:tcPr>
          <w:p>
            <w:pPr>
              <w:spacing w:after="60"/>
            </w:pPr>
            <w:r/>
            <w:r>
              <w:rPr>
                <w:rFonts w:ascii="Calibri" w:hAnsi="Calibri"/>
                <w:b/>
                <w:caps/>
                <w:color w:val="5C6370"/>
                <w:sz w:val="15"/>
              </w:rPr>
              <w:t>ID</w:t>
            </w:r>
          </w:p>
        </w:tc>
        <w:tc>
          <w:tcPr>
            <w:tcW w:type="dxa" w:w="2862"/>
            <w:tcBorders>
              <w:bottom w:val="single" w:sz="12" w:space="4" w:color="16181D"/>
            </w:tcBorders>
          </w:tcPr>
          <w:p>
            <w:pPr>
              <w:spacing w:after="60"/>
            </w:pPr>
            <w:r/>
            <w:r>
              <w:rPr>
                <w:rFonts w:ascii="Calibri" w:hAnsi="Calibri"/>
                <w:b/>
                <w:caps/>
                <w:color w:val="5C6370"/>
                <w:sz w:val="15"/>
              </w:rPr>
              <w:t>Decision</w:t>
            </w:r>
          </w:p>
        </w:tc>
        <w:tc>
          <w:tcPr>
            <w:tcW w:type="dxa" w:w="1221"/>
            <w:tcBorders>
              <w:bottom w:val="single" w:sz="12" w:space="4" w:color="16181D"/>
            </w:tcBorders>
          </w:tcPr>
          <w:p>
            <w:pPr>
              <w:spacing w:after="60"/>
            </w:pPr>
            <w:r/>
            <w:r>
              <w:rPr>
                <w:rFonts w:ascii="Calibri" w:hAnsi="Calibri"/>
                <w:b/>
                <w:caps/>
                <w:color w:val="5C6370"/>
                <w:sz w:val="15"/>
              </w:rPr>
              <w:t>Decider</w:t>
            </w:r>
          </w:p>
        </w:tc>
        <w:tc>
          <w:tcPr>
            <w:tcW w:type="dxa" w:w="1643"/>
            <w:tcBorders>
              <w:bottom w:val="single" w:sz="12" w:space="4" w:color="16181D"/>
            </w:tcBorders>
          </w:tcPr>
          <w:p>
            <w:pPr>
              <w:spacing w:after="60"/>
            </w:pPr>
            <w:r/>
            <w:r>
              <w:rPr>
                <w:rFonts w:ascii="Calibri" w:hAnsi="Calibri"/>
                <w:b/>
                <w:caps/>
                <w:color w:val="5C6370"/>
                <w:sz w:val="15"/>
              </w:rPr>
              <w:t>Agent may decide</w:t>
            </w:r>
          </w:p>
        </w:tc>
        <w:tc>
          <w:tcPr>
            <w:tcW w:type="dxa" w:w="1596"/>
            <w:tcBorders>
              <w:bottom w:val="single" w:sz="12" w:space="4" w:color="16181D"/>
            </w:tcBorders>
          </w:tcPr>
          <w:p>
            <w:pPr>
              <w:spacing w:after="60"/>
            </w:pPr>
            <w:r/>
            <w:r>
              <w:rPr>
                <w:rFonts w:ascii="Calibri" w:hAnsi="Calibri"/>
                <w:b/>
                <w:caps/>
                <w:color w:val="5C6370"/>
                <w:sz w:val="15"/>
              </w:rPr>
              <w:t>Never delegated</w:t>
            </w:r>
          </w:p>
        </w:tc>
      </w:tr>
      <w:tr>
        <w:tc>
          <w:tcPr>
            <w:tcW w:type="dxa" w:w="1174"/>
            <w:tcBorders>
              <w:bottom w:val="single" w:sz="6" w:space="4" w:color="D8DCE3"/>
            </w:tcBorders>
          </w:tcPr>
          <w:p>
            <w:pPr>
              <w:spacing w:after="60"/>
            </w:pPr>
            <w:r/>
            <w:r>
              <w:rPr>
                <w:rFonts w:ascii="Georgia" w:hAnsi="Georgia"/>
                <w:sz w:val="18"/>
              </w:rPr>
              <w:t>TR-001</w:t>
            </w:r>
          </w:p>
        </w:tc>
        <w:tc>
          <w:tcPr>
            <w:tcW w:type="dxa" w:w="2862"/>
            <w:tcBorders>
              <w:bottom w:val="single" w:sz="6" w:space="4" w:color="D8DCE3"/>
            </w:tcBorders>
          </w:tcPr>
          <w:p>
            <w:pPr>
              <w:spacing w:after="60"/>
            </w:pPr>
            <w:r/>
            <w:r>
              <w:rPr>
                <w:rFonts w:ascii="Georgia" w:hAnsi="Georgia"/>
                <w:sz w:val="18"/>
              </w:rPr>
              <w:t>Approve a PRD for a release</w:t>
            </w:r>
          </w:p>
        </w:tc>
        <w:tc>
          <w:tcPr>
            <w:tcW w:type="dxa" w:w="1221"/>
            <w:tcBorders>
              <w:bottom w:val="single" w:sz="6" w:space="4" w:color="D8DCE3"/>
            </w:tcBorders>
          </w:tcPr>
          <w:p>
            <w:pPr>
              <w:spacing w:after="60"/>
            </w:pPr>
            <w:r/>
            <w:r>
              <w:rPr>
                <w:rFonts w:ascii="Georgia" w:hAnsi="Georgia"/>
                <w:sz w:val="18"/>
              </w:rPr>
              <w:t>PER-003</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TR-002</w:t>
            </w:r>
          </w:p>
        </w:tc>
        <w:tc>
          <w:tcPr>
            <w:tcW w:type="dxa" w:w="2862"/>
            <w:tcBorders>
              <w:bottom w:val="single" w:sz="6" w:space="4" w:color="D8DCE3"/>
            </w:tcBorders>
          </w:tcPr>
          <w:p>
            <w:pPr>
              <w:spacing w:after="60"/>
            </w:pPr>
            <w:r/>
            <w:r>
              <w:rPr>
                <w:rFonts w:ascii="Georgia" w:hAnsi="Georgia"/>
                <w:sz w:val="18"/>
              </w:rPr>
              <w:t>Set a section to final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TR-003</w:t>
            </w:r>
          </w:p>
        </w:tc>
        <w:tc>
          <w:tcPr>
            <w:tcW w:type="dxa" w:w="2862"/>
            <w:tcBorders>
              <w:bottom w:val="single" w:sz="6" w:space="4" w:color="D8DCE3"/>
            </w:tcBorders>
          </w:tcPr>
          <w:p>
            <w:pPr>
              <w:spacing w:after="60"/>
            </w:pPr>
            <w:r/>
            <w:r>
              <w:rPr>
                <w:rFonts w:ascii="Georgia" w:hAnsi="Georgia"/>
                <w:sz w:val="18"/>
              </w:rPr>
              <w:t>Produce a section's score and findings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TR-004</w:t>
            </w:r>
          </w:p>
        </w:tc>
        <w:tc>
          <w:tcPr>
            <w:tcW w:type="dxa" w:w="2862"/>
            <w:tcBorders>
              <w:bottom w:val="single" w:sz="6" w:space="4" w:color="D8DCE3"/>
            </w:tcBorders>
          </w:tcPr>
          <w:p>
            <w:pPr>
              <w:spacing w:after="60"/>
            </w:pPr>
            <w:r/>
            <w:r>
              <w:rPr>
                <w:rFonts w:ascii="Georgia" w:hAnsi="Georgia"/>
                <w:sz w:val="18"/>
              </w:rPr>
              <w:t>Decide scope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TR-005</w:t>
            </w:r>
          </w:p>
        </w:tc>
        <w:tc>
          <w:tcPr>
            <w:tcW w:type="dxa" w:w="2862"/>
            <w:tcBorders>
              <w:bottom w:val="single" w:sz="6" w:space="4" w:color="D8DCE3"/>
            </w:tcBorders>
          </w:tcPr>
          <w:p>
            <w:pPr>
              <w:spacing w:after="60"/>
            </w:pPr>
            <w:r/>
            <w:r>
              <w:rPr>
                <w:rFonts w:ascii="Georgia" w:hAnsi="Georgia"/>
                <w:sz w:val="18"/>
              </w:rPr>
              <w:t>State a domain fact as true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TR-006</w:t>
            </w:r>
          </w:p>
        </w:tc>
        <w:tc>
          <w:tcPr>
            <w:tcW w:type="dxa" w:w="2862"/>
            <w:tcBorders>
              <w:bottom w:val="single" w:sz="6" w:space="4" w:color="D8DCE3"/>
            </w:tcBorders>
          </w:tcPr>
          <w:p>
            <w:pPr>
              <w:spacing w:after="60"/>
            </w:pPr>
            <w:r/>
            <w:r>
              <w:rPr>
                <w:rFonts w:ascii="Georgia" w:hAnsi="Georgia"/>
                <w:sz w:val="18"/>
              </w:rPr>
              <w:t>Judge buildability, and report the gaps</w:t>
            </w:r>
          </w:p>
        </w:tc>
        <w:tc>
          <w:tcPr>
            <w:tcW w:type="dxa" w:w="1221"/>
            <w:tcBorders>
              <w:bottom w:val="single" w:sz="6" w:space="4" w:color="D8DCE3"/>
            </w:tcBorders>
          </w:tcPr>
          <w:p>
            <w:pPr>
              <w:spacing w:after="60"/>
            </w:pPr>
            <w:r/>
            <w:r>
              <w:rPr>
                <w:rFonts w:ascii="Georgia" w:hAnsi="Georgia"/>
                <w:sz w:val="18"/>
              </w:rPr>
              <w:t>PER-002</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TR-007</w:t>
            </w:r>
          </w:p>
        </w:tc>
        <w:tc>
          <w:tcPr>
            <w:tcW w:type="dxa" w:w="2862"/>
            <w:tcBorders>
              <w:bottom w:val="single" w:sz="6" w:space="4" w:color="D8DCE3"/>
            </w:tcBorders>
          </w:tcPr>
          <w:p>
            <w:pPr>
              <w:spacing w:after="60"/>
            </w:pPr>
            <w:r/>
            <w:r>
              <w:rPr>
                <w:rFonts w:ascii="Georgia" w:hAnsi="Georgia"/>
                <w:sz w:val="18"/>
              </w:rPr>
              <w:t>Decide the domain's own terms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TR-008</w:t>
            </w:r>
          </w:p>
        </w:tc>
        <w:tc>
          <w:tcPr>
            <w:tcW w:type="dxa" w:w="2862"/>
            <w:tcBorders>
              <w:bottom w:val="single" w:sz="6" w:space="4" w:color="D8DCE3"/>
            </w:tcBorders>
          </w:tcPr>
          <w:p>
            <w:pPr>
              <w:spacing w:after="60"/>
            </w:pPr>
            <w:r/>
            <w:r>
              <w:rPr>
                <w:rFonts w:ascii="Georgia" w:hAnsi="Georgia"/>
                <w:sz w:val="18"/>
              </w:rPr>
              <w:t>Decide a section's interview is finished</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TR-009</w:t>
            </w:r>
          </w:p>
        </w:tc>
        <w:tc>
          <w:tcPr>
            <w:tcW w:type="dxa" w:w="2862"/>
            <w:tcBorders>
              <w:bottom w:val="single" w:sz="6" w:space="4" w:color="D8DCE3"/>
            </w:tcBorders>
          </w:tcPr>
          <w:p>
            <w:pPr>
              <w:spacing w:after="60"/>
            </w:pPr>
            <w:r/>
            <w:r>
              <w:rPr>
                <w:rFonts w:ascii="Georgia" w:hAnsi="Georgia"/>
                <w:sz w:val="18"/>
              </w:rPr>
              <w:t>Decide a section may be left at draft</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TR-010</w:t>
            </w:r>
          </w:p>
        </w:tc>
        <w:tc>
          <w:tcPr>
            <w:tcW w:type="dxa" w:w="2862"/>
            <w:tcBorders>
              <w:bottom w:val="single" w:sz="6" w:space="4" w:color="D8DCE3"/>
            </w:tcBorders>
          </w:tcPr>
          <w:p>
            <w:pPr>
              <w:spacing w:after="60"/>
            </w:pPr>
            <w:r/>
            <w:r>
              <w:rPr>
                <w:rFonts w:ascii="Georgia" w:hAnsi="Georgia"/>
                <w:sz w:val="18"/>
              </w:rPr>
              <w:t>Decide the set may be offered for approval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TR-011</w:t>
            </w:r>
          </w:p>
        </w:tc>
        <w:tc>
          <w:tcPr>
            <w:tcW w:type="dxa" w:w="2862"/>
            <w:tcBorders>
              <w:bottom w:val="single" w:sz="6" w:space="4" w:color="D8DCE3"/>
            </w:tcBorders>
          </w:tcPr>
          <w:p>
            <w:pPr>
              <w:spacing w:after="60"/>
            </w:pPr>
            <w:r/>
            <w:r>
              <w:rPr>
                <w:rFonts w:ascii="Georgia" w:hAnsi="Georgia"/>
                <w:sz w:val="18"/>
              </w:rPr>
              <w:t>Decide a backlog can be mapped</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TR-012</w:t>
            </w:r>
          </w:p>
        </w:tc>
        <w:tc>
          <w:tcPr>
            <w:tcW w:type="dxa" w:w="2862"/>
            <w:tcBorders>
              <w:bottom w:val="single" w:sz="6" w:space="4" w:color="D8DCE3"/>
            </w:tcBorders>
          </w:tcPr>
          <w:p>
            <w:pPr>
              <w:spacing w:after="60"/>
            </w:pPr>
            <w:r/>
            <w:r>
              <w:rPr>
                <w:rFonts w:ascii="Georgia" w:hAnsi="Georgia"/>
                <w:sz w:val="18"/>
              </w:rPr>
              <w:t>Decide which epics come first</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TR-013</w:t>
            </w:r>
          </w:p>
        </w:tc>
        <w:tc>
          <w:tcPr>
            <w:tcW w:type="dxa" w:w="2862"/>
            <w:tcBorders>
              <w:bottom w:val="single" w:sz="6" w:space="4" w:color="D8DCE3"/>
            </w:tcBorders>
          </w:tcPr>
          <w:p>
            <w:pPr>
              <w:spacing w:after="60"/>
            </w:pPr>
            <w:r/>
            <w:r>
              <w:rPr>
                <w:rFonts w:ascii="Georgia" w:hAnsi="Georgia"/>
                <w:sz w:val="18"/>
              </w:rPr>
              <w:t>Accept or correct a drafted section</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TR-014</w:t>
            </w:r>
          </w:p>
        </w:tc>
        <w:tc>
          <w:tcPr>
            <w:tcW w:type="dxa" w:w="2862"/>
            <w:tcBorders>
              <w:bottom w:val="single" w:sz="6" w:space="4" w:color="D8DCE3"/>
            </w:tcBorders>
          </w:tcPr>
          <w:p>
            <w:pPr>
              <w:spacing w:after="60"/>
            </w:pPr>
            <w:r/>
            <w:r>
              <w:rPr>
                <w:rFonts w:ascii="Georgia" w:hAnsi="Georgia"/>
                <w:sz w:val="18"/>
              </w:rPr>
              <w:t>Accept or refute a section's score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fit to approve.</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Produce a section's score and findings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may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review's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TR-014  </w:t>
      </w:r>
      <w:r>
        <w:rPr>
          <w:rFonts w:ascii="Calibri" w:hAnsi="Calibri"/>
          <w:b/>
          <w:sz w:val="20"/>
        </w:rPr>
        <w:t>Accept or refute a section's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 · 96/100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Organizations will let a PRD for their product be drafted inside an assistant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r>
        <w:rPr>
          <w:rFonts w:ascii="Calibri" w:hAnsi="Calibri"/>
          <w:b/>
          <w:color w:val="1F4E79"/>
          <w:sz w:val="20"/>
        </w:rPr>
        <w:t>A-005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Q-004  </w:t>
      </w:r>
      <w:r>
        <w:rPr>
          <w:rFonts w:ascii="Calibri" w:hAnsi="Calibri"/>
          <w:b/>
          <w:sz w:val="20"/>
        </w:rPr>
        <w:t>How many organizations are in each segment in section 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Q-006  </w:t>
      </w:r>
      <w:r>
        <w:rPr>
          <w:rFonts w:ascii="Calibri" w:hAnsi="Calibri"/>
          <w:b/>
          <w:sz w:val="20"/>
        </w:rPr>
        <w:t>How many sections does an expert complete in one sitting before stopping?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Q-007  </w:t>
      </w:r>
      <w:r>
        <w:rPr>
          <w:rFonts w:ascii="Calibri" w:hAnsi="Calibri"/>
          <w:b/>
          <w:sz w:val="20"/>
        </w:rPr>
        <w:t>Does writing the requirements send an expert back to the journeys?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Q-012  </w:t>
      </w:r>
      <w:r>
        <w:rPr>
          <w:rFonts w:ascii="Calibri" w:hAnsi="Calibri"/>
          <w:b/>
          <w:sz w:val="20"/>
        </w:rPr>
        <w:t>Which segment in section 2 converts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Q-013  </w:t>
      </w:r>
      <w:r>
        <w:rPr>
          <w:rFonts w:ascii="Calibri" w:hAnsi="Calibri"/>
          <w:b/>
          <w:sz w:val="20"/>
        </w:rPr>
        <w:t>What day rate does a buyer pay to contract a product manager for the writing of one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Q-015  </w:t>
      </w:r>
      <w:r>
        <w:rPr>
          <w:rFonts w:ascii="Calibri" w:hAnsi="Calibri"/>
          <w:b/>
          <w:sz w:val="20"/>
        </w:rPr>
        <w:t>Who owns the rubric and the eleven 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Q-016  </w:t>
      </w:r>
      <w:r>
        <w:rPr>
          <w:rFonts w:ascii="Calibri" w:hAnsi="Calibri"/>
          <w:b/>
          <w:sz w:val="20"/>
        </w:rPr>
        <w:t>Must a grade show which version of the rubric it was made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Q-018  </w:t>
      </w:r>
      <w:r>
        <w:rPr>
          <w:rFonts w:ascii="Calibri" w:hAnsi="Calibri"/>
          <w:b/>
          <w:sz w:val="20"/>
        </w:rPr>
        <w:t>What does each problem in section 1 cost, as one counted case per 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Q-019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Q-020  </w:t>
      </w:r>
      <w:r>
        <w:rPr>
          <w:rFonts w:ascii="Calibri" w:hAnsi="Calibri"/>
          <w:b/>
          <w:sz w:val="20"/>
        </w:rPr>
        <w:t>Which section do experts stop at most often?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r>
        <w:rPr>
          <w:rFonts w:ascii="Calibri" w:hAnsi="Calibri"/>
          <w:b/>
          <w:color w:val="1F4E79"/>
          <w:sz w:val="20"/>
        </w:rPr>
        <w:t>Q-021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Q-022  </w:t>
      </w:r>
      <w:r>
        <w:rPr>
          <w:rFonts w:ascii="Calibri" w:hAnsi="Calibri"/>
          <w:b/>
          <w:sz w:val="20"/>
        </w:rPr>
        <w:t>If D-002 or D-003 reports after 2027-01-31, does REL-001 move or ship as an 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r>
        <w:rPr>
          <w:rFonts w:ascii="Calibri" w:hAnsi="Calibri"/>
          <w:b/>
          <w:color w:val="1F4E79"/>
          <w:sz w:val="20"/>
        </w:rPr>
        <w:t>Q-023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 · 92/100 · no blocking defects</w:t>
      </w:r>
    </w:p>
    <w:p>
      <w:pPr>
        <w:jc w:val="center"/>
      </w:pPr>
      <w:r>
        <w:drawing>
          <wp:inline xmlns:a="http://schemas.openxmlformats.org/drawingml/2006/main" xmlns:pic="http://schemas.openxmlformats.org/drawingml/2006/picture">
            <wp:extent cx="5486399" cy="6599075"/>
            <wp:docPr id="35" name="Picture 35"/>
            <wp:cNvGraphicFramePr>
              <a:graphicFrameLocks noChangeAspect="1"/>
            </wp:cNvGraphicFramePr>
            <a:graphic>
              <a:graphicData uri="http://schemas.openxmlformats.org/drawingml/2006/picture">
                <pic:pic>
                  <pic:nvPicPr>
                    <pic:cNvPr id="0" name="release-line.png"/>
                    <pic:cNvPicPr/>
                  </pic:nvPicPr>
                  <pic:blipFill>
                    <a:blip r:embed="rId33"/>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 · 85/100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Offered for approval</w:t>
            </w:r>
          </w:p>
        </w:tc>
      </w:tr>
      <w:tr>
        <w:tc>
          <w:tcPr>
            <w:tcW w:type="dxa" w:w="3766"/>
            <w:tcBorders>
              <w:bottom w:val="single" w:sz="6" w:space="4" w:color="D8DCE3"/>
            </w:tcBorders>
          </w:tcPr>
          <w:p>
            <w:pPr>
              <w:spacing w:after="60"/>
            </w:pPr>
            <w:r/>
            <w:r>
              <w:rPr>
                <w:rFonts w:ascii="Georgia" w:hAnsi="Georgia"/>
                <w:sz w:val="18"/>
              </w:rPr>
              <w:t>Offered for approval</w:t>
            </w:r>
          </w:p>
        </w:tc>
        <w:tc>
          <w:tcPr>
            <w:tcW w:type="dxa" w:w="5249"/>
            <w:tcBorders>
              <w:bottom w:val="single" w:sz="6" w:space="4" w:color="D8DCE3"/>
            </w:tcBorders>
          </w:tcPr>
          <w:p>
            <w:pPr>
              <w:spacing w:after="60"/>
            </w:pPr>
            <w:r/>
            <w:r>
              <w:rPr>
                <w:rFonts w:ascii="Georgia" w:hAnsi="Georgia"/>
                <w:sz w:val="18"/>
              </w:rPr>
              <w:t>Ready</w:t>
            </w:r>
          </w:p>
        </w:tc>
      </w:tr>
      <w:tr>
        <w:tc>
          <w:tcPr>
            <w:tcW w:type="dxa" w:w="3766"/>
            <w:tcBorders>
              <w:bottom w:val="single" w:sz="6" w:space="4" w:color="D8DCE3"/>
            </w:tcBorders>
          </w:tcPr>
          <w:p>
            <w:pPr>
              <w:spacing w:after="60"/>
            </w:pPr>
            <w:r/>
            <w:r>
              <w:rPr>
                <w:rFonts w:ascii="Georgia" w:hAnsi="Georgia"/>
                <w:sz w:val="18"/>
              </w:rPr>
              <w:t>Sitting</w:t>
            </w:r>
          </w:p>
        </w:tc>
        <w:tc>
          <w:tcPr>
            <w:tcW w:type="dxa" w:w="5249"/>
            <w:tcBorders>
              <w:bottom w:val="single" w:sz="6" w:space="4" w:color="D8DCE3"/>
            </w:tcBorders>
          </w:tcPr>
          <w:p>
            <w:pPr>
              <w:spacing w:after="60"/>
            </w:pPr>
            <w:r/>
            <w:r>
              <w:rPr>
                <w:rFonts w:ascii="Georgia" w:hAnsi="Georgia"/>
                <w:sz w:val="18"/>
              </w:rPr>
              <w:t>A session</w:t>
            </w:r>
          </w:p>
        </w:tc>
      </w:tr>
      <w:tr>
        <w:tc>
          <w:tcPr>
            <w:tcW w:type="dxa" w:w="3766"/>
            <w:tcBorders>
              <w:bottom w:val="single" w:sz="6" w:space="4" w:color="D8DCE3"/>
            </w:tcBorders>
          </w:tcPr>
          <w:p>
            <w:pPr>
              <w:spacing w:after="60"/>
            </w:pPr>
            <w:r/>
            <w:r>
              <w:rPr>
                <w:rFonts w:ascii="Georgia" w:hAnsi="Georgia"/>
                <w:sz w:val="18"/>
              </w:rPr>
              <w:t>Experiment</w:t>
            </w:r>
          </w:p>
        </w:tc>
        <w:tc>
          <w:tcPr>
            <w:tcW w:type="dxa" w:w="5249"/>
            <w:tcBorders>
              <w:bottom w:val="single" w:sz="6" w:space="4" w:color="D8DCE3"/>
            </w:tcBorders>
          </w:tcPr>
          <w:p>
            <w:pPr>
              <w:spacing w:after="60"/>
            </w:pPr>
            <w:r/>
            <w:r>
              <w:rPr>
                <w:rFonts w:ascii="Georgia" w:hAnsi="Georgia"/>
                <w:sz w:val="18"/>
              </w:rPr>
              <w:t>A spike</w:t>
            </w:r>
          </w:p>
        </w:tc>
      </w:tr>
      <w:tr>
        <w:tc>
          <w:tcPr>
            <w:tcW w:type="dxa" w:w="3766"/>
            <w:tcBorders>
              <w:bottom w:val="single" w:sz="6" w:space="4" w:color="D8DCE3"/>
            </w:tcBorders>
          </w:tcPr>
          <w:p>
            <w:pPr>
              <w:spacing w:after="60"/>
            </w:pPr>
            <w:r/>
            <w:r>
              <w:rPr>
                <w:rFonts w:ascii="Georgia" w:hAnsi="Georgia"/>
                <w:sz w:val="18"/>
              </w:rPr>
              <w:t>Agent</w:t>
            </w:r>
          </w:p>
        </w:tc>
        <w:tc>
          <w:tcPr>
            <w:tcW w:type="dxa" w:w="5249"/>
            <w:tcBorders>
              <w:bottom w:val="single" w:sz="6" w:space="4" w:color="D8DCE3"/>
            </w:tcBorders>
          </w:tcPr>
          <w:p>
            <w:pPr>
              <w:spacing w:after="60"/>
            </w:pPr>
            <w:r/>
            <w:r>
              <w:rPr>
                <w:rFonts w:ascii="Georgia" w:hAnsi="Georgia"/>
                <w:sz w:val="18"/>
              </w:rPr>
              <w:t>A person</w:t>
            </w:r>
          </w:p>
        </w:tc>
      </w:tr>
      <w:tr>
        <w:tc>
          <w:tcPr>
            <w:tcW w:type="dxa" w:w="3766"/>
            <w:tcBorders>
              <w:bottom w:val="single" w:sz="6" w:space="4" w:color="D8DCE3"/>
            </w:tcBorders>
          </w:tcPr>
          <w:p>
            <w:pPr>
              <w:spacing w:after="60"/>
            </w:pPr>
            <w:r/>
            <w:r>
              <w:rPr>
                <w:rFonts w:ascii="Georgia" w:hAnsi="Georgia"/>
                <w:sz w:val="18"/>
              </w:rPr>
              <w:t>Exported copy</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Capability</w:t>
            </w:r>
          </w:p>
        </w:tc>
        <w:tc>
          <w:tcPr>
            <w:tcW w:type="dxa" w:w="5249"/>
            <w:tcBorders>
              <w:bottom w:val="single" w:sz="6" w:space="4" w:color="D8DCE3"/>
            </w:tcBorders>
          </w:tcPr>
          <w:p>
            <w:pPr>
              <w:spacing w:after="60"/>
            </w:pPr>
            <w:r/>
            <w:r>
              <w:rPr>
                <w:rFonts w:ascii="Georgia" w:hAnsi="Georgia"/>
                <w:sz w:val="18"/>
              </w:rPr>
              <w:t>A capability the system needs</w:t>
            </w:r>
          </w:p>
        </w:tc>
      </w:tr>
      <w:tr>
        <w:tc>
          <w:tcPr>
            <w:tcW w:type="dxa" w:w="3766"/>
            <w:tcBorders>
              <w:bottom w:val="single" w:sz="6" w:space="4" w:color="D8DCE3"/>
            </w:tcBorders>
          </w:tcPr>
          <w:p>
            <w:pPr>
              <w:spacing w:after="60"/>
            </w:pPr>
            <w:r/>
            <w:r>
              <w:rPr>
                <w:rFonts w:ascii="Georgia" w:hAnsi="Georgia"/>
                <w:sz w:val="18"/>
              </w:rPr>
              <w:t>Delegated</w:t>
            </w:r>
          </w:p>
        </w:tc>
        <w:tc>
          <w:tcPr>
            <w:tcW w:type="dxa" w:w="5249"/>
            <w:tcBorders>
              <w:bottom w:val="single" w:sz="6" w:space="4" w:color="D8DCE3"/>
            </w:tcBorders>
          </w:tcPr>
          <w:p>
            <w:pPr>
              <w:spacing w:after="60"/>
            </w:pPr>
            <w:r/>
            <w:r>
              <w:rPr>
                <w:rFonts w:ascii="Georgia" w:hAnsi="Georgia"/>
                <w:sz w:val="18"/>
              </w:rPr>
              <w:t>A person deciding on someone's behalf</w:t>
            </w:r>
          </w:p>
        </w:tc>
      </w:tr>
      <w:tr>
        <w:tc>
          <w:tcPr>
            <w:tcW w:type="dxa" w:w="3766"/>
            <w:tcBorders>
              <w:bottom w:val="single" w:sz="6" w:space="4" w:color="D8DCE3"/>
            </w:tcBorders>
          </w:tcPr>
          <w:p>
            <w:pPr>
              <w:spacing w:after="60"/>
            </w:pPr>
            <w:r/>
            <w:r>
              <w:rPr>
                <w:rFonts w:ascii="Georgia" w:hAnsi="Georgia"/>
                <w:sz w:val="18"/>
              </w:rPr>
              <w:t>Verdict</w:t>
            </w:r>
          </w:p>
        </w:tc>
        <w:tc>
          <w:tcPr>
            <w:tcW w:type="dxa" w:w="5249"/>
            <w:tcBorders>
              <w:bottom w:val="single" w:sz="6" w:space="4" w:color="D8DCE3"/>
            </w:tcBorders>
          </w:tcPr>
          <w:p>
            <w:pPr>
              <w:spacing w:after="60"/>
            </w:pPr>
            <w:r/>
            <w:r>
              <w:rPr>
                <w:rFonts w:ascii="Georgia" w:hAnsi="Georgia"/>
                <w:sz w:val="18"/>
              </w:rPr>
              <w:t>A grade</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finding, 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Abbreviation</w:t>
            </w:r>
          </w:p>
        </w:tc>
        <w:tc>
          <w:tcPr>
            <w:tcW w:type="dxa" w:w="7070"/>
          </w:tcPr>
          <w:p>
            <w:pPr>
              <w:spacing w:after="60"/>
            </w:pPr>
            <w:r/>
            <w:r>
              <w:rPr>
                <w:rFonts w:ascii="Georgia" w:hAnsi="Georgia"/>
                <w:sz w:val="19"/>
              </w:rPr>
              <w:t>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the state pending,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grade. A grade scores one section against its rubric, and a verdict is the buildability review's conclusion on the whole set.</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the set names, by name and role under FR-021, who approves, approves with conditions, or rejects the whole set for a release under TR-001. A set names one or more approvers: the sponsor, or the expert when no sponsor exists. Only a named approver's decision counts. A set approved with conditions reads that way until the approver who stated each condition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or a blocking defect. A finding is anything a review reports, and a blocking defect is a finding that stops a section moving on. A gap is a thing the set leaves unsaid.</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which is a stretch of time spent on the work and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Offered for approval. Ready describes one section. The expert decides, under TR-010, whether the whole set may be offered for approval.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capability the system needs, as the backbone's source uses the word. In this set a capability belongs to one user, and the backbone is the journey stages.</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with this product,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agent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Decided by a person on someone else's behalf. A person who decides while the decider is away does so under the rule's escalation, and that is not delegation.</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itself a PRD, and calls the documents that make it up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set the expert has decided, under TR-010 in stage ST-005, may go to the approver, as its root document or an exported copy. A set offered for approval reads as not approved until the approver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ready</w:t>
            </w:r>
          </w:p>
          <w:p>
            <w:pPr>
              <w:spacing w:after="40"/>
              <w:ind w:left="173"/>
            </w:pPr>
            <w:r>
              <w:rPr>
                <w:rFonts w:ascii="Georgia" w:hAnsi="Georgia"/>
                <w:sz w:val="19"/>
              </w:rPr>
              <w:t>• approver</w:t>
            </w:r>
          </w:p>
          <w:p>
            <w:pPr>
              <w:spacing w:after="40"/>
              <w:ind w:left="173"/>
            </w:pP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Ready. Ready describes one section, and a set is offered for approval as a whole.</w:t>
            </w:r>
          </w:p>
        </w:tc>
      </w:tr>
    </w:tbl>
    <w:p>
      <w:pPr>
        <w:spacing w:after="40"/>
      </w:pPr>
    </w:p>
    <w:p>
      <w:pPr>
        <w:keepNext/>
        <w:spacing w:before="220" w:after="60"/>
        <w:ind w:left="115"/>
        <w:pBdr>
          <w:left w:val="single" w:sz="18" w:space="0" w:color="1F4E79"/>
        </w:pBdr>
      </w:pPr>
      <w:r>
        <w:rPr>
          <w:rFonts w:ascii="Calibri" w:hAnsi="Calibri"/>
          <w:b/>
          <w:sz w:val="20"/>
        </w:rPr>
        <w:t>Sitting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stretch of time an expert spends on the work, such as one of the 6 to 9 working sittings per PRD in section 4, or one of D-002's ten observed sittings. One sitting can span more than one session.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session. A session is the assistant conversation the product works inside.</w:t>
            </w:r>
          </w:p>
        </w:tc>
      </w:tr>
    </w:tbl>
    <w:p>
      <w:pPr>
        <w:spacing w:after="40"/>
      </w:pPr>
    </w:p>
    <w:p>
      <w:pPr>
        <w:keepNext/>
        <w:spacing w:before="220" w:after="60"/>
        <w:ind w:left="115"/>
        <w:pBdr>
          <w:left w:val="single" w:sz="18" w:space="0" w:color="1F4E79"/>
        </w:pBdr>
      </w:pPr>
      <w:r>
        <w:rPr>
          <w:rFonts w:ascii="Calibri" w:hAnsi="Calibri"/>
          <w:b/>
          <w:sz w:val="20"/>
        </w:rPr>
        <w:t>Loop-back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return to an earlier section because a later one showed it was incomplete, such as writing the requirements sending the expert back to the journeys. ST-004 allows it, and Q-007 counts loop-backs in D-002's observed sittings.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sitting</w:t>
            </w:r>
          </w:p>
        </w:tc>
      </w:tr>
    </w:tbl>
    <w:p>
      <w:pPr>
        <w:spacing w:after="40"/>
      </w:pPr>
    </w:p>
    <w:p>
      <w:pPr>
        <w:keepNext/>
        <w:spacing w:before="220" w:after="60"/>
        <w:ind w:left="115"/>
        <w:pBdr>
          <w:left w:val="single" w:sz="18" w:space="0" w:color="1F4E79"/>
        </w:pBdr>
      </w:pPr>
      <w:r>
        <w:rPr>
          <w:rFonts w:ascii="Calibri" w:hAnsi="Calibri"/>
          <w:b/>
          <w:sz w:val="20"/>
        </w:rPr>
        <w:t>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release shipped while assumptions it depends on are still untested, and said to be so. Section 13 names this as REL-001's course if D-002 or D-003 reports late, and Q-022 decides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spike. A spike produces an answer, and an experiment ships a release.</w:t>
            </w:r>
          </w:p>
        </w:tc>
      </w:tr>
    </w:tbl>
    <w:p>
      <w:pPr>
        <w:spacing w:after="40"/>
      </w:pPr>
    </w:p>
    <w:p>
      <w:pPr>
        <w:keepNext/>
        <w:spacing w:before="220" w:after="60"/>
        <w:ind w:left="115"/>
        <w:pBdr>
          <w:left w:val="single" w:sz="18" w:space="0" w:color="1F4E79"/>
        </w:pBdr>
      </w:pPr>
      <w:r>
        <w:rPr>
          <w:rFonts w:ascii="Calibri" w:hAnsi="Calibri"/>
          <w:b/>
          <w:sz w:val="20"/>
        </w:rPr>
        <w:t>Agent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Software that takes a decision section 10 marks as one an agent may decide, such as TR-003's score and findings. In this set an agent only proposes, and the person the rule names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delegated</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person. Every decider in section 10 is a person.</w:t>
            </w:r>
          </w:p>
        </w:tc>
      </w:tr>
    </w:tbl>
    <w:p>
      <w:pPr>
        <w:spacing w:after="40"/>
      </w:pPr>
    </w:p>
    <w:p>
      <w:pPr>
        <w:keepNext/>
        <w:spacing w:before="220" w:after="60"/>
        <w:ind w:left="115"/>
        <w:pBdr>
          <w:left w:val="single" w:sz="18" w:space="0" w:color="1F4E79"/>
        </w:pBdr>
      </w:pPr>
      <w:r>
        <w:rPr>
          <w:rFonts w:ascii="Calibri" w:hAnsi="Calibri"/>
          <w:b/>
          <w:sz w:val="20"/>
        </w:rPr>
        <w:t>Exported copy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set in a form the sponsor reads outside the product, in place of the root document, as in ST-006.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offered for approval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is its documents, and an exported copy is one form of them for reading.</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to FR-021 added;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between problems, personas, objectives, competitors, trust-rule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we expect the sponsor to say,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 Ready describes one section, and offered for approval describes the set. Sitting, loop-back, experiment, agent, and exported copy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Richard Hightower decided this on 2026-10-27. ST-006 stays on the release line with the same goal and end state, and no stage is added, removed, or reordered. PER-001's new wording changes no stage. The release line's text now quotes the existing end state, and ST-006 is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Richard Hightower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or requirement the condition depends on, as FR-014 requires. A rejection records its reason.</w:t>
      </w:r>
    </w:p>
    <w:p>
      <w:r>
        <w:rPr>
          <w:rFonts w:ascii="Georgia" w:hAnsi="Georgia"/>
        </w:rPr>
        <w:t>At 0.9.0 the expert holds every other section to a score over 80, and accepts this section below 80 until the set is offered for approval on 2027-03-15, because its rubric cannot score approvals and conditions higher before an approval exists.</w:t>
      </w: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 as Richard Hightower decided on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review under TR-006, and REL-002 includes it. References to the moved items are updated across the set. Together these fix the blocking defects that did not wait on evidence.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Each problem names its persona, and each objective names the problems it addresses and the open question that will establish its baseline. Competitors have a kind, with the status quo named. Each trust rule names the stages it governs. Scenarios say where the user meets them, SC-001 names the stages it spans, and each screen or report scenario links its wireframes. The root's measure states its target. Section 11 now says D-002 and D-003 fall on REL-001's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which the diagrams show in place of its 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(now A-005, since 0.8.1)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4"/>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