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adversarial grade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A draft written with an assistant is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23)}</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Backlog items now multiply faster than anyone checks the path between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release-line stage has a requirement behind it,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signing the PRD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adversarial grade found 23 blocking defects in 8 of 18 documents.', 'source': 'prd-forge repository, commit 6f77bc0 (version 0.8.0)', 'as_of': datetime.date(2026, 10, 26)}</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signs off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sees the grade, every blocking defect, and every open question before deciding.</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is taught what each section is for before being asked about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55/100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2"/>
        <w:gridCol w:w="2573"/>
        <w:gridCol w:w="2489"/>
        <w:gridCol w:w="2573"/>
      </w:tblGrid>
      <w:tr>
        <w:tc>
          <w:tcPr>
            <w:tcW w:type="dxa" w:w="1033"/>
            <w:tcBorders>
              <w:bottom w:val="single" w:sz="12" w:space="4" w:color="16181D"/>
            </w:tcBorders>
          </w:tcPr>
          <w:p>
            <w:pPr>
              <w:spacing w:after="60"/>
            </w:pPr>
            <w:r/>
            <w:r>
              <w:rPr>
                <w:rFonts w:ascii="Calibri" w:hAnsi="Calibri"/>
                <w:b/>
                <w:caps/>
                <w:color w:val="5C6370"/>
                <w:sz w:val="15"/>
              </w:rPr>
              <w:t>ID</w:t>
            </w:r>
          </w:p>
        </w:tc>
        <w:tc>
          <w:tcPr>
            <w:tcW w:type="dxa" w:w="2573"/>
            <w:tcBorders>
              <w:bottom w:val="single" w:sz="12" w:space="4" w:color="16181D"/>
            </w:tcBorders>
          </w:tcPr>
          <w:p>
            <w:pPr>
              <w:spacing w:after="60"/>
            </w:pPr>
            <w:r/>
            <w:r>
              <w:rPr>
                <w:rFonts w:ascii="Calibri" w:hAnsi="Calibri"/>
                <w:b/>
                <w:caps/>
                <w:color w:val="5C6370"/>
                <w:sz w:val="15"/>
              </w:rPr>
              <w:t>Segment</w:t>
            </w:r>
          </w:p>
        </w:tc>
        <w:tc>
          <w:tcPr>
            <w:tcW w:type="dxa" w:w="2489"/>
            <w:tcBorders>
              <w:bottom w:val="single" w:sz="12" w:space="4" w:color="16181D"/>
            </w:tcBorders>
          </w:tcPr>
          <w:p>
            <w:pPr>
              <w:spacing w:after="60"/>
            </w:pPr>
            <w:r/>
            <w:r>
              <w:rPr>
                <w:rFonts w:ascii="Calibri" w:hAnsi="Calibri"/>
                <w:b/>
                <w:caps/>
                <w:color w:val="5C6370"/>
                <w:sz w:val="15"/>
              </w:rPr>
              <w:t>Buyer</w:t>
            </w:r>
          </w:p>
        </w:tc>
        <w:tc>
          <w:tcPr>
            <w:tcW w:type="dxa" w:w="2573"/>
            <w:tcBorders>
              <w:bottom w:val="single" w:sz="12" w:space="4" w:color="16181D"/>
            </w:tcBorders>
          </w:tcPr>
          <w:p>
            <w:pPr>
              <w:spacing w:after="60"/>
            </w:pPr>
            <w:r/>
            <w:r>
              <w:rPr>
                <w:rFonts w:ascii="Calibri" w:hAnsi="Calibri"/>
                <w:b/>
                <w:caps/>
                <w:color w:val="5C6370"/>
                <w:sz w:val="15"/>
              </w:rPr>
              <w:t>User</w:t>
            </w:r>
          </w:p>
        </w:tc>
      </w:tr>
      <w:tr>
        <w:tc>
          <w:tcPr>
            <w:tcW w:type="dxa" w:w="1033"/>
            <w:tcBorders>
              <w:bottom w:val="single" w:sz="6" w:space="4" w:color="D8DCE3"/>
            </w:tcBorders>
          </w:tcPr>
          <w:p>
            <w:pPr>
              <w:spacing w:after="60"/>
            </w:pPr>
            <w:r/>
            <w:r>
              <w:rPr>
                <w:rFonts w:ascii="Georgia" w:hAnsi="Georgia"/>
                <w:sz w:val="18"/>
              </w:rPr>
              <w:t>S-001</w:t>
            </w:r>
          </w:p>
        </w:tc>
        <w:tc>
          <w:tcPr>
            <w:tcW w:type="dxa" w:w="2573"/>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489"/>
            <w:tcBorders>
              <w:bottom w:val="single" w:sz="6" w:space="4" w:color="D8DCE3"/>
            </w:tcBorders>
          </w:tcPr>
          <w:p>
            <w:pPr>
              <w:spacing w:after="60"/>
            </w:pPr>
            <w:r/>
            <w:r>
              <w:rPr>
                <w:rFonts w:ascii="Georgia" w:hAnsi="Georgia"/>
                <w:sz w:val="18"/>
              </w:rPr>
              <w:t>Principal or practice lead, as the sponsor</w:t>
            </w:r>
          </w:p>
        </w:tc>
        <w:tc>
          <w:tcPr>
            <w:tcW w:type="dxa" w:w="2573"/>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3"/>
            <w:tcBorders>
              <w:bottom w:val="single" w:sz="6" w:space="4" w:color="D8DCE3"/>
            </w:tcBorders>
          </w:tcPr>
          <w:p>
            <w:pPr>
              <w:spacing w:after="60"/>
            </w:pPr>
            <w:r/>
            <w:r>
              <w:rPr>
                <w:rFonts w:ascii="Georgia" w:hAnsi="Georgia"/>
                <w:sz w:val="18"/>
              </w:rPr>
              <w:t>S-002</w:t>
            </w:r>
          </w:p>
        </w:tc>
        <w:tc>
          <w:tcPr>
            <w:tcW w:type="dxa" w:w="2573"/>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489"/>
            <w:tcBorders>
              <w:bottom w:val="single" w:sz="6" w:space="4" w:color="D8DCE3"/>
            </w:tcBorders>
          </w:tcPr>
          <w:p>
            <w:pPr>
              <w:spacing w:after="60"/>
            </w:pPr>
            <w:r/>
            <w:r>
              <w:rPr>
                <w:rFonts w:ascii="Georgia" w:hAnsi="Georgia"/>
                <w:sz w:val="18"/>
              </w:rPr>
              <w:t>Head of product or head of transformation, as the sponsor</w:t>
            </w:r>
          </w:p>
        </w:tc>
        <w:tc>
          <w:tcPr>
            <w:tcW w:type="dxa" w:w="2573"/>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out of scope for REL-001. The id S-003 is not reused.</w:t>
      </w:r>
    </w:p>
    <w:p>
      <w:pPr>
        <w:pStyle w:val="Heading3"/>
      </w:pPr>
      <w:r>
        <w:t>Why we win</w:t>
      </w:r>
    </w:p>
    <w:p>
      <w:r>
        <w:rPr>
          <w:rFonts w:ascii="Georgia" w:hAnsi="Georgia"/>
        </w:rPr>
        <w:t>Against the cost of contracting a product manager for the engagement, the buyer gets a PRD written by the person who holds the domain knowledge, with every gap an engineer could not build from named before anyone estimates. The day rate the comparison rests on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The product runs only inside an assistant session the expert already uses (D-001).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or head of transformation,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section is graded against a published rubric, and before anyone estimates, the buyer holds a report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who holds the domain knowledge, so no domain fact passes through a second person, and the buyer sees each section's grade and blocking defects before approving.</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2027-03-31,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68/100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1"/>
        <w:gridCol w:w="2341"/>
        <w:gridCol w:w="1134"/>
        <w:gridCol w:w="1617"/>
        <w:gridCol w:w="2341"/>
      </w:tblGrid>
      <w:tr>
        <w:tc>
          <w:tcPr>
            <w:tcW w:type="dxa" w:w="1062"/>
            <w:tcBorders>
              <w:bottom w:val="single" w:sz="12" w:space="4" w:color="16181D"/>
            </w:tcBorders>
          </w:tcPr>
          <w:p>
            <w:pPr>
              <w:spacing w:after="60"/>
            </w:pPr>
            <w:r/>
            <w:r>
              <w:rPr>
                <w:rFonts w:ascii="Calibri" w:hAnsi="Calibri"/>
                <w:b/>
                <w:caps/>
                <w:color w:val="5C6370"/>
                <w:sz w:val="15"/>
              </w:rPr>
              <w:t>ID</w:t>
            </w:r>
          </w:p>
        </w:tc>
        <w:tc>
          <w:tcPr>
            <w:tcW w:type="dxa" w:w="2341"/>
            <w:tcBorders>
              <w:bottom w:val="single" w:sz="12" w:space="4" w:color="16181D"/>
            </w:tcBorders>
          </w:tcPr>
          <w:p>
            <w:pPr>
              <w:spacing w:after="60"/>
            </w:pPr>
            <w:r/>
            <w:r>
              <w:rPr>
                <w:rFonts w:ascii="Calibri" w:hAnsi="Calibri"/>
                <w:b/>
                <w:caps/>
                <w:color w:val="5C6370"/>
                <w:sz w:val="15"/>
              </w:rPr>
              <w:t>Role</w:t>
            </w:r>
          </w:p>
        </w:tc>
        <w:tc>
          <w:tcPr>
            <w:tcW w:type="dxa" w:w="1134"/>
            <w:tcBorders>
              <w:bottom w:val="single" w:sz="12" w:space="4" w:color="16181D"/>
            </w:tcBorders>
          </w:tcPr>
          <w:p>
            <w:pPr>
              <w:spacing w:after="60"/>
            </w:pPr>
            <w:r/>
            <w:r>
              <w:rPr>
                <w:rFonts w:ascii="Calibri" w:hAnsi="Calibri"/>
                <w:b/>
                <w:caps/>
                <w:color w:val="5C6370"/>
                <w:sz w:val="15"/>
              </w:rPr>
              <w:t>Per PRD</w:t>
            </w:r>
          </w:p>
        </w:tc>
        <w:tc>
          <w:tcPr>
            <w:tcW w:type="dxa" w:w="1617"/>
            <w:tcBorders>
              <w:bottom w:val="single" w:sz="12" w:space="4" w:color="16181D"/>
            </w:tcBorders>
          </w:tcPr>
          <w:p>
            <w:pPr>
              <w:spacing w:after="60"/>
            </w:pPr>
            <w:r/>
            <w:r>
              <w:rPr>
                <w:rFonts w:ascii="Calibri" w:hAnsi="Calibri"/>
                <w:b/>
                <w:caps/>
                <w:color w:val="5C6370"/>
                <w:sz w:val="15"/>
              </w:rPr>
              <w:t>Frequency</w:t>
            </w:r>
          </w:p>
        </w:tc>
        <w:tc>
          <w:tcPr>
            <w:tcW w:type="dxa" w:w="2341"/>
            <w:tcBorders>
              <w:bottom w:val="single" w:sz="12" w:space="4" w:color="16181D"/>
            </w:tcBorders>
          </w:tcPr>
          <w:p>
            <w:pPr>
              <w:spacing w:after="60"/>
            </w:pPr>
            <w:r/>
            <w:r>
              <w:rPr>
                <w:rFonts w:ascii="Calibri" w:hAnsi="Calibri"/>
                <w:b/>
                <w:caps/>
                <w:color w:val="5C6370"/>
                <w:sz w:val="15"/>
              </w:rPr>
              <w:t>Decides</w:t>
            </w:r>
          </w:p>
        </w:tc>
      </w:tr>
      <w:tr>
        <w:tc>
          <w:tcPr>
            <w:tcW w:type="dxa" w:w="1062"/>
            <w:tcBorders>
              <w:bottom w:val="single" w:sz="6" w:space="4" w:color="D8DCE3"/>
            </w:tcBorders>
          </w:tcPr>
          <w:p>
            <w:pPr>
              <w:spacing w:after="60"/>
            </w:pPr>
            <w:r/>
            <w:r>
              <w:rPr>
                <w:rFonts w:ascii="Georgia" w:hAnsi="Georgia"/>
                <w:sz w:val="18"/>
              </w:rPr>
              <w:t>PER-001</w:t>
            </w:r>
          </w:p>
        </w:tc>
        <w:tc>
          <w:tcPr>
            <w:tcW w:type="dxa" w:w="2341"/>
            <w:tcBorders>
              <w:bottom w:val="single" w:sz="6" w:space="4" w:color="D8DCE3"/>
            </w:tcBorders>
          </w:tcPr>
          <w:p>
            <w:pPr>
              <w:spacing w:after="60"/>
            </w:pPr>
            <w:r/>
            <w:r>
              <w:rPr>
                <w:rFonts w:ascii="Georgia" w:hAnsi="Georgia"/>
                <w:sz w:val="18"/>
              </w:rPr>
              <w:t>Product manager: the domain expert, or a proxy who speaks for one</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Weeks per product, then rarely</w:t>
            </w:r>
          </w:p>
        </w:tc>
        <w:tc>
          <w:tcPr>
            <w:tcW w:type="dxa" w:w="2341"/>
            <w:tcBorders>
              <w:bottom w:val="single" w:sz="6" w:space="4" w:color="D8DCE3"/>
            </w:tcBorders>
          </w:tcPr>
          <w:p>
            <w:pPr>
              <w:spacing w:after="60"/>
            </w:pPr>
            <w:r/>
            <w:r>
              <w:rPr>
                <w:rFonts w:ascii="Georgia" w:hAnsi="Georgia"/>
                <w:sz w:val="18"/>
              </w:rPr>
              <w:t>What the product must do, scope, the domain's terms, when an interview ends, drafts, section states, scores, domain facts, and when the set is offered; not the PRD itself where a sponsor exists</w:t>
            </w:r>
          </w:p>
        </w:tc>
      </w:tr>
      <w:tr>
        <w:tc>
          <w:tcPr>
            <w:tcW w:type="dxa" w:w="1062"/>
            <w:tcBorders>
              <w:bottom w:val="single" w:sz="6" w:space="4" w:color="D8DCE3"/>
            </w:tcBorders>
          </w:tcPr>
          <w:p>
            <w:pPr>
              <w:spacing w:after="60"/>
            </w:pPr>
            <w:r/>
            <w:r>
              <w:rPr>
                <w:rFonts w:ascii="Georgia" w:hAnsi="Georgia"/>
                <w:sz w:val="18"/>
              </w:rPr>
              <w:t>PER-002</w:t>
            </w:r>
          </w:p>
        </w:tc>
        <w:tc>
          <w:tcPr>
            <w:tcW w:type="dxa" w:w="2341"/>
            <w:tcBorders>
              <w:bottom w:val="single" w:sz="6" w:space="4" w:color="D8DCE3"/>
            </w:tcBorders>
          </w:tcPr>
          <w:p>
            <w:pPr>
              <w:spacing w:after="60"/>
            </w:pPr>
            <w:r/>
            <w:r>
              <w:rPr>
                <w:rFonts w:ascii="Georgia" w:hAnsi="Georgia"/>
                <w:sz w:val="18"/>
              </w:rPr>
              <w:t>Engineering lead (staff or principal engineer) on the delivery team</w:t>
            </w:r>
          </w:p>
        </w:tc>
        <w:tc>
          <w:tcPr>
            <w:tcW w:type="dxa" w:w="1134"/>
            <w:tcBorders>
              <w:bottom w:val="single" w:sz="6" w:space="4" w:color="D8DCE3"/>
            </w:tcBorders>
          </w:tcPr>
          <w:p>
            <w:pPr>
              <w:spacing w:after="60"/>
            </w:pPr>
            <w:r/>
            <w:r>
              <w:rPr>
                <w:rFonts w:ascii="Georgia" w:hAnsi="Georgia"/>
                <w:sz w:val="18"/>
              </w:rPr>
              <w:t>One or two</w:t>
            </w:r>
          </w:p>
        </w:tc>
        <w:tc>
          <w:tcPr>
            <w:tcW w:type="dxa" w:w="1617"/>
            <w:tcBorders>
              <w:bottom w:val="single" w:sz="6" w:space="4" w:color="D8DCE3"/>
            </w:tcBorders>
          </w:tcPr>
          <w:p>
            <w:pPr>
              <w:spacing w:after="60"/>
            </w:pPr>
            <w:r/>
            <w:r>
              <w:rPr>
                <w:rFonts w:ascii="Georgia" w:hAnsi="Georgia"/>
                <w:sz w:val="18"/>
              </w:rPr>
              <w:t>A handful of intensive reads</w:t>
            </w:r>
          </w:p>
        </w:tc>
        <w:tc>
          <w:tcPr>
            <w:tcW w:type="dxa" w:w="2341"/>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62"/>
            <w:tcBorders>
              <w:bottom w:val="single" w:sz="6" w:space="4" w:color="D8DCE3"/>
            </w:tcBorders>
          </w:tcPr>
          <w:p>
            <w:pPr>
              <w:spacing w:after="60"/>
            </w:pPr>
            <w:r/>
            <w:r>
              <w:rPr>
                <w:rFonts w:ascii="Georgia" w:hAnsi="Georgia"/>
                <w:sz w:val="18"/>
              </w:rPr>
              <w:t>PER-003</w:t>
            </w:r>
          </w:p>
        </w:tc>
        <w:tc>
          <w:tcPr>
            <w:tcW w:type="dxa" w:w="2341"/>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version</w:t>
            </w:r>
          </w:p>
        </w:tc>
        <w:tc>
          <w:tcPr>
            <w:tcW w:type="dxa" w:w="2341"/>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62"/>
            <w:tcBorders>
              <w:bottom w:val="single" w:sz="6" w:space="4" w:color="D8DCE3"/>
            </w:tcBorders>
          </w:tcPr>
          <w:p>
            <w:pPr>
              <w:spacing w:after="60"/>
            </w:pPr>
            <w:r/>
            <w:r>
              <w:rPr>
                <w:rFonts w:ascii="Georgia" w:hAnsi="Georgia"/>
                <w:sz w:val="18"/>
              </w:rPr>
              <w:t>PER-004</w:t>
            </w:r>
          </w:p>
        </w:tc>
        <w:tc>
          <w:tcPr>
            <w:tcW w:type="dxa" w:w="2341"/>
            <w:tcBorders>
              <w:bottom w:val="single" w:sz="6" w:space="4" w:color="D8DCE3"/>
            </w:tcBorders>
          </w:tcPr>
          <w:p>
            <w:pPr>
              <w:spacing w:after="60"/>
            </w:pPr>
            <w:r/>
            <w:r>
              <w:rPr>
                <w:rFonts w:ascii="Georgia" w:hAnsi="Georgia"/>
                <w:sz w:val="18"/>
              </w:rPr>
              <w:t>Delivery lead (delivery manager or product owner) on the delivery team</w:t>
            </w:r>
          </w:p>
        </w:tc>
        <w:tc>
          <w:tcPr>
            <w:tcW w:type="dxa" w:w="1134"/>
            <w:tcBorders>
              <w:bottom w:val="single" w:sz="6" w:space="4" w:color="D8DCE3"/>
            </w:tcBorders>
          </w:tcPr>
          <w:p>
            <w:pPr>
              <w:spacing w:after="60"/>
            </w:pPr>
            <w:r/>
            <w:r>
              <w:rPr>
                <w:rFonts w:ascii="Georgia" w:hAnsi="Georgia"/>
                <w:sz w:val="18"/>
              </w:rPr>
              <w:t>One</w:t>
            </w:r>
          </w:p>
        </w:tc>
        <w:tc>
          <w:tcPr>
            <w:tcW w:type="dxa" w:w="1617"/>
            <w:tcBorders>
              <w:bottom w:val="single" w:sz="6" w:space="4" w:color="D8DCE3"/>
            </w:tcBorders>
          </w:tcPr>
          <w:p>
            <w:pPr>
              <w:spacing w:after="60"/>
            </w:pPr>
            <w:r/>
            <w:r>
              <w:rPr>
                <w:rFonts w:ascii="Georgia" w:hAnsi="Georgia"/>
                <w:sz w:val="18"/>
              </w:rPr>
              <w:t>Once per release</w:t>
            </w:r>
          </w:p>
        </w:tc>
        <w:tc>
          <w:tcPr>
            <w:tcW w:type="dxa" w:w="2341"/>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In segment S-001 the client's staff supply domain knowledge to the expert, but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Product manager: the domain expert, or a proxy who speaks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an assistant session they already use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the exported PDF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No dependency tests it yet.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79/100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the exported PDF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 answers would already score the section 70 or more with no blocking defect, or when the expert says they have nothing more to add, and the section is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the whole set to be reviewed as an engineer would read it; Sees what an engineer could not build, and what they would have to guess; Sees which release-line stages have no requirement behind them; Closes each gap, or records it as an open question with a decider and a date</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the exported PDF,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78/100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65754"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1465754"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739922"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1979606"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1979606"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under TR-002,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79/100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the exported PDF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see every section and its state, and resume without repeating an answer</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 FR-015</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pass</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and see the section re-graded against the same rubric</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Q-005 shows a sponsor needs a view beyond the root document</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r>
        <w:tc>
          <w:tcPr>
            <w:tcW w:type="dxa" w:w="1233"/>
            <w:tcBorders>
              <w:bottom w:val="single" w:sz="6" w:space="4" w:color="D8DCE3"/>
            </w:tcBorders>
          </w:tcPr>
          <w:p>
            <w:pPr>
              <w:spacing w:after="60"/>
            </w:pPr>
            <w:r/>
            <w:r>
              <w:rPr>
                <w:rFonts w:ascii="Georgia" w:hAnsi="Georgia"/>
                <w:sz w:val="18"/>
              </w:rPr>
              <w:t>OUT-005</w:t>
            </w:r>
          </w:p>
        </w:tc>
        <w:tc>
          <w:tcPr>
            <w:tcW w:type="dxa" w:w="3805"/>
            <w:tcBorders>
              <w:bottom w:val="single" w:sz="6" w:space="4" w:color="D8DCE3"/>
            </w:tcBorders>
          </w:tcPr>
          <w:p>
            <w:pPr>
              <w:spacing w:after="60"/>
            </w:pPr>
            <w:r/>
            <w:r>
              <w:rPr>
                <w:rFonts w:ascii="Georgia" w:hAnsi="Georgia"/>
                <w:sz w:val="18"/>
              </w:rPr>
              <w:t>Product teams entering a domain they do not know</w:t>
            </w:r>
          </w:p>
        </w:tc>
        <w:tc>
          <w:tcPr>
            <w:tcW w:type="dxa" w:w="3805"/>
            <w:tcBorders>
              <w:bottom w:val="single" w:sz="6" w:space="4" w:color="D8DCE3"/>
            </w:tcBorders>
          </w:tcPr>
          <w:p>
            <w:pPr>
              <w:spacing w:after="60"/>
            </w:pPr>
            <w:r/>
            <w:r>
              <w:rPr>
                <w:rFonts w:ascii="Georgia" w:hAnsi="Georgia"/>
                <w:sz w:val="18"/>
              </w:rPr>
              <w:t>After Q-004 sizes the segments, by 2027-06-30</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already works in an assistant session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were segment S-003 in section 2, then a non-goal, and are now OUT-005, because they are excluded only until the segments are sized.</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see every section of the set and its state,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pass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and see the section re-graded against the same rubric</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Review the whole set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record the sponsor's decision,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Q-005, asked of three sponsors, shows that a sponsor needs a view beyond the root document. The sponsor reads one document, the root document, which FR-013 says carries everything they need.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OUT-005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After Q-004 sizes the segments in section 2, by 2027-06-30. They already employ the product skill and want the domain, which prd-forge does not supply.</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pass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reviewer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75/100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2027-03-31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merely requested, and both are dated on REL-001's target day in section 13. This is a real schedule problem: REL-001 ships on the day the assumptions it rests on are due to be tested, and it cannot use the results. Q-019 asks whether REL-001 moves or ships as an experiment, decided by 2027-01-31.</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counts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Will a sponsor accept a graded PRD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 and where they stop</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R-004, NFR-005</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Q-011</w:t>
            </w:r>
          </w:p>
        </w:tc>
        <w:tc>
          <w:tcPr>
            <w:tcW w:type="dxa" w:w="2712"/>
            <w:tcBorders>
              <w:bottom w:val="single" w:sz="6" w:space="4" w:color="D8DCE3"/>
            </w:tcBorders>
          </w:tcPr>
          <w:p>
            <w:pPr>
              <w:spacing w:after="60"/>
            </w:pPr>
            <w:r/>
            <w:r>
              <w:rPr>
                <w:rFonts w:ascii="Georgia" w:hAnsi="Georgia"/>
                <w:sz w:val="18"/>
              </w:rPr>
              <w:t>How an approver records a decision (answered)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FR-014</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looping back feel like progress or failure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ST-004</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none</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 and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 NFR-012</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move, or ship as an experiment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Q-011 is answered.</w:t>
      </w:r>
      <w:r>
        <w:rPr>
          <w:rFonts w:ascii="Georgia" w:hAnsi="Georgia"/>
        </w:rPr>
        <w:t xml:space="preserve"> In release 1 the sponsor records approval outside the product, through the expert, under FR-014. Q-017 asks who owns NFR-006 and NFR-012.</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is the schedule.</w:t>
      </w:r>
      <w:r>
        <w:rPr>
          <w:rFonts w:ascii="Georgia" w:hAnsi="Georgia"/>
        </w:rPr>
        <w:t xml:space="preserve"> D-002 and D-003 are due on REL-001's own date, and REL-001 cannot use what they find. The decision is whether REL-001 moves or ships as an experiment.</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PRD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Trace one recorded interview from the first answer to the drafted section, and mark each place an answer sits before the draft, checked against A-005 and NFR-004.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the exported PDF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Compare the segments against the first ten conversations with buyers.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an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Q-014  </w:t>
      </w:r>
      <w:r>
        <w:rPr>
          <w:rFonts w:ascii="Calibri" w:hAnsi="Calibri"/>
          <w:b/>
          <w:sz w:val="20"/>
        </w:rPr>
        <w:t>Does looping back to the journeys feel like progress or like failure to the 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the ten observed sessions from D-002. Time-boxed to 0 extra days, because the sessions already exist.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change the rubric and the checks have had in this set's change log, and name who made each one.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REL-001 move to after D-002 and D-003 report, or does it ship on 2027-03-31 as an experiment?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Check the dates D-002 and D-003 commit to, and compare them with REL-001's target date.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also dated 2027-03-31 and are only *requested*. As a result, REL-001 ships at the same moment the assumptions beneath it are first tested, not after. Either REL-001 moves, or it ships knowingly as an experiment. Q-019 asks which, and Richard Hightower decides it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take no extra work beyond a dependency that already exists, as in Q-006 and Q-007.</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a score of 70 or more with no blocking defect in a set that checks clean;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passes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It starts after the expert reads what the section is for, puts one or two questions at a time, and ends when the section has enough material to be drafted, when the expert says they have nothing more to add, or when their answers would already score the section 70 or more with no blocking defect. Only the expert answers in it.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before the list does when the expert's answers would already pass the section.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pass to move to its next state, such as a score of 70 or more with no blocking defect, in a set that checks clean, for </w:t>
            </w:r>
            <w:r>
              <w:rPr>
                <w:rFonts w:ascii="Consolas" w:hAnsi="Consolas"/>
                <w:sz w:val="19"/>
              </w:rPr>
              <w:t>review</w:t>
            </w:r>
            <w:r>
              <w:rPr>
                <w:rFonts w:ascii="Georgia" w:hAnsi="Georgia"/>
                <w:sz w:val="19"/>
              </w:rPr>
              <w:t>.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passes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A PRD passes on first submission when that first verdict is a pass, with no gap fixed between two reviews.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reads a section and comments on it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word with three uses in this set: the state </w:t>
            </w:r>
            <w:r>
              <w:rPr>
                <w:rFonts w:ascii="Consolas" w:hAnsi="Consolas"/>
                <w:sz w:val="19"/>
              </w:rPr>
              <w:t>review</w:t>
            </w:r>
            <w:r>
              <w:rPr>
                <w:rFonts w:ascii="Georgia" w:hAnsi="Georgia"/>
                <w:sz w:val="19"/>
              </w:rPr>
              <w:t>, a section ready for someone else to read; the buildability review of the whole set at ST-005; and the act of reading a draft, as in FR-008, when the expert reviews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FR-019 and FR-020 split out; TR-014 for accepting a score; C-004 out of section 9; refute and approval defined; sourced glossary terms; satisfaction scores; ST-006 outside the product; ChatPRD; pilot PRDs; Q-011 answered;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Section 1: each problem has one counted case, with its source and date, each why-now claim cites the General Assembly survey of product managers, P-004 states the condition the expert suffers, and Q-018 asks for one counted cost per problem. Section 2: ChatPRD is the direct competitor, the buyer's case is stated against the cost of a contracted product manager, each segment names its personas, and the status-quo competitor's edge states a prd-forge outcome. Section 3: O-001 counts the 5 pilot PRDs and defines a pass between REL-001 and 2027-09-30, O-002 counts the pilot PRDs with one journey, O-003 counts a requirement testable when two of three engineering leads agree, and each target is provisional until its question is answered. Section 4: on the expert's decision, PER-001 is the product manager who is, or speaks for, the domain expert, PER-003 is the sponsor, and each persona has a population, a basis, a context, and its problems. Section 5: the first state is pending, shown as not started; the expert refutes a grade; LC-001 makes final the expert's decision under TR-002; each stage carries the expert's satisfaction score, and each pain point names its stage; ST-006 happens outside the product; SC-004 is split into SC-004 and SC-008; and each alternate and exception scenario names the step of SC-007 it leaves. Section 6: the scope says "an engineer" for the person who builds from the set, ST-006 is outside the product, the release line uses J-001's end state, and product teams new to a domain move to OUT-005. Section 7: FR-019 and FR-020, both `should` on the expert's decision, split the early stop out of FR-004 and the check across the set out of FR-008, and an unclear answer gets its follow-up before the early stop. FR-008 tests that every item is shown in a sentence or a table row, FR-018 shows a change within 10 seconds of a request to refresh, FR-009 asks the expert to accept or refute each grade, FR-010 waits on Q-007, and FR-004 and FR-017 name no field and no view. FR-011 offers review only in a set that checks clean. WF-001 draws FR-020 as a requirement's stage stated two ways, WF-008 counts twelve dimensions, WF-007, WF-009, and WF-010 name the screen they are a state of, and the wireframes name no drawing tool. Section 8: NFR-001, NFR-002, and NFR-011 name what they time, NFR-004 and NFR-010 apply to the whole set, and NFR-010 and NFR-012 are measured in a test organization. Section 9: on the expert's decision, C-004 leaves, its rule lives in TR-005 and FR-006, and the section may be empty. Section 10: TR-003 only produces a section's score, the new TR-014 has the expert accept or refute it, and each rule's decider is called the Decider. Section 11: R-001 and R-002 are mitigated by 2027-01-31, each risk has a trigger, a response, and a status, each dependency has an owner, and D-001 is delivered. Section 12: Q-009 also blocks FR-019; Q-004, Q-007, Q-009, and Q-011 are split into single questions; Q-011 is answered; Q-018 asks for costs; Q-019 asks whether REL-001 moves; and the design choices inside Q-009, Q-010, and Q-016 become candidate architecture decisions. Section 13: REL-001 carries FR-019 and FR-020, its exit criteria use the pilot PRDs and the defined pass, REL-001 and REL-003 name what they depend on, and REL-002 gives the engineering lead an outcome. Section 14: every word in the requirements' acceptance has an entry, including refute and approval; eight terms cite a verified source and state where the set departs from it; `wont` means won't have this time; pilot PRD, first submission, reviewer, iteration, review, and checks clean are defined. Section 15: the versioning policy before 1.0, which applies from 0.9.0 onward and defines a change to the golden thread as structural. Across the set, "set" or "PRD" replaces "specification" where it meant this set. This is a minor version because the policy and the evidence are new content.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