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gets a grade for each section of the PRD, with every blocking defect named and the reason for each score quoted from the document (FR-009). The sponsor can ask for the same grades and reasons from a ChatPRD draft and compare.</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92/100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