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60/100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PRD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PRD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381500"/>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PRD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Idea, domain, vocabulary, a visible empty set, and resumption</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Teach then interview, in their vocabulary</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No invented facts; convert technology talk</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One question, then re-grade</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Buildability review of the whole set</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Approval recorded against a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review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PRD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381500"/>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This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Organisations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52"/>
        <w:gridCol w:w="2812"/>
        <w:gridCol w:w="1276"/>
        <w:gridCol w:w="1212"/>
        <w:gridCol w:w="2140"/>
      </w:tblGrid>
      <w:tr>
        <w:tc>
          <w:tcPr>
            <w:tcW w:type="dxa" w:w="1053"/>
            <w:tcBorders>
              <w:bottom w:val="single" w:sz="12" w:space="4" w:color="16181D"/>
            </w:tcBorders>
          </w:tcPr>
          <w:p>
            <w:pPr>
              <w:spacing w:after="60"/>
            </w:pPr>
            <w:r/>
            <w:r>
              <w:rPr>
                <w:rFonts w:ascii="Calibri" w:hAnsi="Calibri"/>
                <w:b/>
                <w:caps/>
                <w:color w:val="5C6370"/>
                <w:sz w:val="15"/>
              </w:rPr>
              <w:t>ID</w:t>
            </w:r>
          </w:p>
        </w:tc>
        <w:tc>
          <w:tcPr>
            <w:tcW w:type="dxa" w:w="2813"/>
            <w:tcBorders>
              <w:bottom w:val="single" w:sz="12" w:space="4" w:color="16181D"/>
            </w:tcBorders>
          </w:tcPr>
          <w:p>
            <w:pPr>
              <w:spacing w:after="60"/>
            </w:pPr>
            <w:r/>
            <w:r>
              <w:rPr>
                <w:rFonts w:ascii="Calibri" w:hAnsi="Calibri"/>
                <w:b/>
                <w:caps/>
                <w:color w:val="5C6370"/>
                <w:sz w:val="15"/>
              </w:rPr>
              <w:t>Question</w:t>
            </w:r>
          </w:p>
        </w:tc>
        <w:tc>
          <w:tcPr>
            <w:tcW w:type="dxa" w:w="1277"/>
            <w:tcBorders>
              <w:bottom w:val="single" w:sz="12" w:space="4" w:color="16181D"/>
            </w:tcBorders>
          </w:tcPr>
          <w:p>
            <w:pPr>
              <w:spacing w:after="60"/>
            </w:pPr>
            <w:r/>
            <w:r>
              <w:rPr>
                <w:rFonts w:ascii="Calibri" w:hAnsi="Calibri"/>
                <w:b/>
                <w:caps/>
                <w:color w:val="5C6370"/>
                <w:sz w:val="15"/>
              </w:rPr>
              <w:t>Decider</w:t>
            </w:r>
          </w:p>
        </w:tc>
        <w:tc>
          <w:tcPr>
            <w:tcW w:type="dxa" w:w="1213"/>
            <w:tcBorders>
              <w:bottom w:val="single" w:sz="12" w:space="4" w:color="16181D"/>
            </w:tcBorders>
          </w:tcPr>
          <w:p>
            <w:pPr>
              <w:spacing w:after="60"/>
            </w:pPr>
            <w:r/>
            <w:r>
              <w:rPr>
                <w:rFonts w:ascii="Calibri" w:hAnsi="Calibri"/>
                <w:b/>
                <w:caps/>
                <w:color w:val="5C6370"/>
                <w:sz w:val="15"/>
              </w:rPr>
              <w:t>By</w:t>
            </w:r>
          </w:p>
        </w:tc>
        <w:tc>
          <w:tcPr>
            <w:tcW w:type="dxa" w:w="2141"/>
            <w:tcBorders>
              <w:bottom w:val="single" w:sz="12" w:space="4" w:color="16181D"/>
            </w:tcBorders>
          </w:tcPr>
          <w:p>
            <w:pPr>
              <w:spacing w:after="60"/>
            </w:pPr>
            <w:r/>
            <w:r>
              <w:rPr>
                <w:rFonts w:ascii="Calibri" w:hAnsi="Calibri"/>
                <w:b/>
                <w:caps/>
                <w:color w:val="5C6370"/>
                <w:sz w:val="15"/>
              </w:rPr>
              <w:t>Blocks</w:t>
            </w:r>
          </w:p>
        </w:tc>
      </w:tr>
      <w:tr>
        <w:tc>
          <w:tcPr>
            <w:tcW w:type="dxa" w:w="1053"/>
            <w:tcBorders>
              <w:bottom w:val="single" w:sz="6" w:space="4" w:color="D8DCE3"/>
            </w:tcBorders>
          </w:tcPr>
          <w:p>
            <w:pPr>
              <w:spacing w:after="60"/>
            </w:pPr>
            <w:r/>
            <w:r>
              <w:rPr>
                <w:rFonts w:ascii="Georgia" w:hAnsi="Georgia"/>
                <w:sz w:val="18"/>
              </w:rPr>
              <w:t>Q-001</w:t>
            </w:r>
          </w:p>
        </w:tc>
        <w:tc>
          <w:tcPr>
            <w:tcW w:type="dxa" w:w="2813"/>
            <w:tcBorders>
              <w:bottom w:val="single" w:sz="6" w:space="4" w:color="D8DCE3"/>
            </w:tcBorders>
          </w:tcPr>
          <w:p>
            <w:pPr>
              <w:spacing w:after="60"/>
            </w:pPr>
            <w:r/>
            <w:r>
              <w:rPr>
                <w:rFonts w:ascii="Georgia" w:hAnsi="Georgia"/>
                <w:sz w:val="18"/>
              </w:rPr>
              <w:t>Today's first-pass buildability rate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O-001</w:t>
            </w:r>
          </w:p>
        </w:tc>
      </w:tr>
      <w:tr>
        <w:tc>
          <w:tcPr>
            <w:tcW w:type="dxa" w:w="1053"/>
            <w:tcBorders>
              <w:bottom w:val="single" w:sz="6" w:space="4" w:color="D8DCE3"/>
            </w:tcBorders>
          </w:tcPr>
          <w:p>
            <w:pPr>
              <w:spacing w:after="60"/>
            </w:pPr>
            <w:r/>
            <w:r>
              <w:rPr>
                <w:rFonts w:ascii="Georgia" w:hAnsi="Georgia"/>
                <w:sz w:val="18"/>
              </w:rPr>
              <w:t>Q-002</w:t>
            </w:r>
          </w:p>
        </w:tc>
        <w:tc>
          <w:tcPr>
            <w:tcW w:type="dxa" w:w="2813"/>
            <w:tcBorders>
              <w:bottom w:val="single" w:sz="6" w:space="4" w:color="D8DCE3"/>
            </w:tcBorders>
          </w:tcPr>
          <w:p>
            <w:pPr>
              <w:spacing w:after="60"/>
            </w:pPr>
            <w:r/>
            <w:r>
              <w:rPr>
                <w:rFonts w:ascii="Georgia" w:hAnsi="Georgia"/>
                <w:sz w:val="18"/>
              </w:rPr>
              <w:t>Today's idea-to-approval elapsed time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O-002</w:t>
            </w:r>
          </w:p>
        </w:tc>
      </w:tr>
      <w:tr>
        <w:tc>
          <w:tcPr>
            <w:tcW w:type="dxa" w:w="1053"/>
            <w:tcBorders>
              <w:bottom w:val="single" w:sz="6" w:space="4" w:color="D8DCE3"/>
            </w:tcBorders>
          </w:tcPr>
          <w:p>
            <w:pPr>
              <w:spacing w:after="60"/>
            </w:pPr>
            <w:r/>
            <w:r>
              <w:rPr>
                <w:rFonts w:ascii="Georgia" w:hAnsi="Georgia"/>
                <w:sz w:val="18"/>
              </w:rPr>
              <w:t>Q-003</w:t>
            </w:r>
          </w:p>
        </w:tc>
        <w:tc>
          <w:tcPr>
            <w:tcW w:type="dxa" w:w="2813"/>
            <w:tcBorders>
              <w:bottom w:val="single" w:sz="6" w:space="4" w:color="D8DCE3"/>
            </w:tcBorders>
          </w:tcPr>
          <w:p>
            <w:pPr>
              <w:spacing w:after="60"/>
            </w:pPr>
            <w:r/>
            <w:r>
              <w:rPr>
                <w:rFonts w:ascii="Georgia" w:hAnsi="Georgia"/>
                <w:sz w:val="18"/>
              </w:rPr>
              <w:t>Today's share of testable requirements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O-003</w:t>
            </w:r>
          </w:p>
        </w:tc>
      </w:tr>
      <w:tr>
        <w:tc>
          <w:tcPr>
            <w:tcW w:type="dxa" w:w="1053"/>
            <w:tcBorders>
              <w:bottom w:val="single" w:sz="6" w:space="4" w:color="D8DCE3"/>
            </w:tcBorders>
          </w:tcPr>
          <w:p>
            <w:pPr>
              <w:spacing w:after="60"/>
            </w:pPr>
            <w:r/>
            <w:r>
              <w:rPr>
                <w:rFonts w:ascii="Georgia" w:hAnsi="Georgia"/>
                <w:sz w:val="18"/>
              </w:rPr>
              <w:t>Q-004</w:t>
            </w:r>
          </w:p>
        </w:tc>
        <w:tc>
          <w:tcPr>
            <w:tcW w:type="dxa" w:w="2813"/>
            <w:tcBorders>
              <w:bottom w:val="single" w:sz="6" w:space="4" w:color="D8DCE3"/>
            </w:tcBorders>
          </w:tcPr>
          <w:p>
            <w:pPr>
              <w:spacing w:after="60"/>
            </w:pPr>
            <w:r/>
            <w:r>
              <w:rPr>
                <w:rFonts w:ascii="Georgia" w:hAnsi="Georgia"/>
                <w:sz w:val="18"/>
              </w:rPr>
              <w:t>Segment sizes, and which converts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2027-06-30</w:t>
            </w:r>
          </w:p>
        </w:tc>
        <w:tc>
          <w:tcPr>
            <w:tcW w:type="dxa" w:w="2141"/>
            <w:tcBorders>
              <w:bottom w:val="single" w:sz="6" w:space="4" w:color="D8DCE3"/>
            </w:tcBorders>
          </w:tcPr>
          <w:p>
            <w:pPr>
              <w:spacing w:after="60"/>
            </w:pPr>
            <w:r/>
            <w:r>
              <w:rPr>
                <w:rFonts w:ascii="Georgia" w:hAnsi="Georgia"/>
                <w:sz w:val="18"/>
              </w:rPr>
              <w:t>S-001, S-002</w:t>
            </w:r>
          </w:p>
        </w:tc>
      </w:tr>
      <w:tr>
        <w:tc>
          <w:tcPr>
            <w:tcW w:type="dxa" w:w="1053"/>
            <w:tcBorders>
              <w:bottom w:val="single" w:sz="6" w:space="4" w:color="D8DCE3"/>
            </w:tcBorders>
          </w:tcPr>
          <w:p>
            <w:pPr>
              <w:spacing w:after="60"/>
            </w:pPr>
            <w:r/>
            <w:r>
              <w:rPr>
                <w:rFonts w:ascii="Georgia" w:hAnsi="Georgia"/>
                <w:sz w:val="18"/>
              </w:rPr>
              <w:t>Q-005</w:t>
            </w:r>
          </w:p>
        </w:tc>
        <w:tc>
          <w:tcPr>
            <w:tcW w:type="dxa" w:w="2813"/>
            <w:tcBorders>
              <w:bottom w:val="single" w:sz="6" w:space="4" w:color="D8DCE3"/>
            </w:tcBorders>
          </w:tcPr>
          <w:p>
            <w:pPr>
              <w:spacing w:after="60"/>
            </w:pPr>
            <w:r/>
            <w:r>
              <w:rPr>
                <w:rFonts w:ascii="Georgia" w:hAnsi="Georgia"/>
                <w:sz w:val="18"/>
              </w:rPr>
              <w:t>Will a sponsor accept a graded PRD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FR-013, TR-001</w:t>
            </w:r>
          </w:p>
        </w:tc>
      </w:tr>
      <w:tr>
        <w:tc>
          <w:tcPr>
            <w:tcW w:type="dxa" w:w="1053"/>
            <w:tcBorders>
              <w:bottom w:val="single" w:sz="6" w:space="4" w:color="D8DCE3"/>
            </w:tcBorders>
          </w:tcPr>
          <w:p>
            <w:pPr>
              <w:spacing w:after="60"/>
            </w:pPr>
            <w:r/>
            <w:r>
              <w:rPr>
                <w:rFonts w:ascii="Georgia" w:hAnsi="Georgia"/>
                <w:sz w:val="18"/>
              </w:rPr>
              <w:t>Q-006</w:t>
            </w:r>
          </w:p>
        </w:tc>
        <w:tc>
          <w:tcPr>
            <w:tcW w:type="dxa" w:w="2813"/>
            <w:tcBorders>
              <w:bottom w:val="single" w:sz="6" w:space="4" w:color="D8DCE3"/>
            </w:tcBorders>
          </w:tcPr>
          <w:p>
            <w:pPr>
              <w:spacing w:after="60"/>
            </w:pPr>
            <w:r/>
            <w:r>
              <w:rPr>
                <w:rFonts w:ascii="Georgia" w:hAnsi="Georgia"/>
                <w:sz w:val="18"/>
              </w:rPr>
              <w:t>Sections completed per sitting, and where they stop</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R-004, NFR-005</w:t>
            </w:r>
          </w:p>
        </w:tc>
      </w:tr>
      <w:tr>
        <w:tc>
          <w:tcPr>
            <w:tcW w:type="dxa" w:w="1053"/>
            <w:tcBorders>
              <w:bottom w:val="single" w:sz="6" w:space="4" w:color="D8DCE3"/>
            </w:tcBorders>
          </w:tcPr>
          <w:p>
            <w:pPr>
              <w:spacing w:after="60"/>
            </w:pPr>
            <w:r/>
            <w:r>
              <w:rPr>
                <w:rFonts w:ascii="Georgia" w:hAnsi="Georgia"/>
                <w:sz w:val="18"/>
              </w:rPr>
              <w:t>Q-007</w:t>
            </w:r>
          </w:p>
        </w:tc>
        <w:tc>
          <w:tcPr>
            <w:tcW w:type="dxa" w:w="2813"/>
            <w:tcBorders>
              <w:bottom w:val="single" w:sz="6" w:space="4" w:color="D8DCE3"/>
            </w:tcBorders>
          </w:tcPr>
          <w:p>
            <w:pPr>
              <w:spacing w:after="60"/>
            </w:pPr>
            <w:r/>
            <w:r>
              <w:rPr>
                <w:rFonts w:ascii="Georgia" w:hAnsi="Georgia"/>
                <w:sz w:val="18"/>
              </w:rPr>
              <w:t>Is the working order right, and how does looping back feel</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ST-004</w:t>
            </w:r>
          </w:p>
        </w:tc>
      </w:tr>
      <w:tr>
        <w:tc>
          <w:tcPr>
            <w:tcW w:type="dxa" w:w="1053"/>
            <w:tcBorders>
              <w:bottom w:val="single" w:sz="6" w:space="4" w:color="D8DCE3"/>
            </w:tcBorders>
          </w:tcPr>
          <w:p>
            <w:pPr>
              <w:spacing w:after="60"/>
            </w:pPr>
            <w:r/>
            <w:r>
              <w:rPr>
                <w:rFonts w:ascii="Georgia" w:hAnsi="Georgia"/>
                <w:sz w:val="18"/>
              </w:rPr>
              <w:t>Q-008</w:t>
            </w:r>
          </w:p>
        </w:tc>
        <w:tc>
          <w:tcPr>
            <w:tcW w:type="dxa" w:w="2813"/>
            <w:tcBorders>
              <w:bottom w:val="single" w:sz="6" w:space="4" w:color="D8DCE3"/>
            </w:tcBorders>
          </w:tcPr>
          <w:p>
            <w:pPr>
              <w:spacing w:after="60"/>
            </w:pPr>
            <w:r/>
            <w:r>
              <w:rPr>
                <w:rFonts w:ascii="Georgia" w:hAnsi="Georgia"/>
                <w:sz w:val="18"/>
              </w:rPr>
              <w:t>Disciplined or incomplete, to an engineering lead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A-003</w:t>
            </w:r>
          </w:p>
        </w:tc>
      </w:tr>
      <w:tr>
        <w:tc>
          <w:tcPr>
            <w:tcW w:type="dxa" w:w="1053"/>
            <w:tcBorders>
              <w:bottom w:val="single" w:sz="6" w:space="4" w:color="D8DCE3"/>
            </w:tcBorders>
          </w:tcPr>
          <w:p>
            <w:pPr>
              <w:spacing w:after="60"/>
            </w:pPr>
            <w:r/>
            <w:r>
              <w:rPr>
                <w:rFonts w:ascii="Georgia" w:hAnsi="Georgia"/>
                <w:sz w:val="18"/>
              </w:rPr>
              <w:t>Q-009</w:t>
            </w:r>
          </w:p>
        </w:tc>
        <w:tc>
          <w:tcPr>
            <w:tcW w:type="dxa" w:w="2813"/>
            <w:tcBorders>
              <w:bottom w:val="single" w:sz="6" w:space="4" w:color="D8DCE3"/>
            </w:tcBorders>
          </w:tcPr>
          <w:p>
            <w:pPr>
              <w:spacing w:after="60"/>
            </w:pPr>
            <w:r/>
            <w:r>
              <w:rPr>
                <w:rFonts w:ascii="Georgia" w:hAnsi="Georgia"/>
                <w:sz w:val="18"/>
              </w:rPr>
              <w:t>Where the rubric and the checks live, and who owns them</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FR-004, FR-009..FR-012, FR-019, NFR-007</w:t>
            </w:r>
          </w:p>
        </w:tc>
      </w:tr>
      <w:tr>
        <w:tc>
          <w:tcPr>
            <w:tcW w:type="dxa" w:w="1053"/>
            <w:tcBorders>
              <w:bottom w:val="single" w:sz="6" w:space="4" w:color="D8DCE3"/>
            </w:tcBorders>
          </w:tcPr>
          <w:p>
            <w:pPr>
              <w:spacing w:after="60"/>
            </w:pPr>
            <w:r/>
            <w:r>
              <w:rPr>
                <w:rFonts w:ascii="Georgia" w:hAnsi="Georgia"/>
                <w:sz w:val="18"/>
              </w:rPr>
              <w:t>Q-010</w:t>
            </w:r>
          </w:p>
        </w:tc>
        <w:tc>
          <w:tcPr>
            <w:tcW w:type="dxa" w:w="2813"/>
            <w:tcBorders>
              <w:bottom w:val="single" w:sz="6" w:space="4" w:color="D8DCE3"/>
            </w:tcBorders>
          </w:tcPr>
          <w:p>
            <w:pPr>
              <w:spacing w:after="60"/>
            </w:pPr>
            <w:r/>
            <w:r>
              <w:rPr>
                <w:rFonts w:ascii="Georgia" w:hAnsi="Georgia"/>
                <w:sz w:val="18"/>
              </w:rPr>
              <w:t>Where an answer lives before its section is drafted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FR-015, NFR-011</w:t>
            </w:r>
          </w:p>
        </w:tc>
      </w:tr>
      <w:tr>
        <w:tc>
          <w:tcPr>
            <w:tcW w:type="dxa" w:w="1053"/>
            <w:tcBorders>
              <w:bottom w:val="single" w:sz="6" w:space="4" w:color="D8DCE3"/>
            </w:tcBorders>
          </w:tcPr>
          <w:p>
            <w:pPr>
              <w:spacing w:after="60"/>
            </w:pPr>
            <w:r/>
            <w:r>
              <w:rPr>
                <w:rFonts w:ascii="Georgia" w:hAnsi="Georgia"/>
                <w:sz w:val="18"/>
              </w:rPr>
              <w:t>Q-011</w:t>
            </w:r>
          </w:p>
        </w:tc>
        <w:tc>
          <w:tcPr>
            <w:tcW w:type="dxa" w:w="2813"/>
            <w:tcBorders>
              <w:bottom w:val="single" w:sz="6" w:space="4" w:color="D8DCE3"/>
            </w:tcBorders>
          </w:tcPr>
          <w:p>
            <w:pPr>
              <w:spacing w:after="60"/>
            </w:pPr>
            <w:r/>
            <w:r>
              <w:rPr>
                <w:rFonts w:ascii="Georgia" w:hAnsi="Georgia"/>
                <w:sz w:val="18"/>
              </w:rPr>
              <w:t>How an approver records a decision, and who owns NFR-006/012</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2027-02-28</w:t>
            </w:r>
          </w:p>
        </w:tc>
        <w:tc>
          <w:tcPr>
            <w:tcW w:type="dxa" w:w="2141"/>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six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Q-005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PRD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The sponsor makes this decision under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An open question</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r>
        <w:tc>
          <w:tcPr>
            <w:tcW w:type="dxa" w:w="4049"/>
            <w:tcBorders>
              <w:bottom w:val="single" w:sz="6" w:space="4" w:color="D8DCE3"/>
            </w:tcBorders>
          </w:tcPr>
          <w:p>
            <w:pPr>
              <w:spacing w:after="60"/>
            </w:pPr>
            <w:r/>
            <w:r>
              <w:rPr>
                <w:rFonts w:ascii="Georgia" w:hAnsi="Georgia"/>
                <w:sz w:val="18"/>
              </w:rPr>
              <w:t>Journey</w:t>
            </w:r>
          </w:p>
        </w:tc>
        <w:tc>
          <w:tcPr>
            <w:tcW w:type="dxa" w:w="4965"/>
            <w:tcBorders>
              <w:bottom w:val="single" w:sz="6" w:space="4" w:color="D8DCE3"/>
            </w:tcBorders>
          </w:tcPr>
          <w:p>
            <w:pPr>
              <w:spacing w:after="60"/>
            </w:pPr>
            <w:r/>
            <w:r>
              <w:rPr>
                <w:rFonts w:ascii="Georgia" w:hAnsi="Georgia"/>
                <w:sz w:val="18"/>
              </w:rPr>
              <w:t>A use case</w:t>
            </w:r>
          </w:p>
        </w:tc>
      </w:tr>
      <w:tr>
        <w:tc>
          <w:tcPr>
            <w:tcW w:type="dxa" w:w="4049"/>
            <w:tcBorders>
              <w:bottom w:val="single" w:sz="6" w:space="4" w:color="D8DCE3"/>
            </w:tcBorders>
          </w:tcPr>
          <w:p>
            <w:pPr>
              <w:spacing w:after="60"/>
            </w:pPr>
            <w:r/>
            <w:r>
              <w:rPr>
                <w:rFonts w:ascii="Georgia" w:hAnsi="Georgia"/>
                <w:sz w:val="18"/>
              </w:rPr>
              <w:t>Step</w:t>
            </w:r>
          </w:p>
        </w:tc>
        <w:tc>
          <w:tcPr>
            <w:tcW w:type="dxa" w:w="4965"/>
            <w:tcBorders>
              <w:bottom w:val="single" w:sz="6" w:space="4" w:color="D8DCE3"/>
            </w:tcBorders>
          </w:tcPr>
          <w:p>
            <w:pPr>
              <w:spacing w:after="60"/>
            </w:pPr>
            <w:r/>
            <w:r>
              <w:rPr>
                <w:rFonts w:ascii="Georgia" w:hAnsi="Georgia"/>
                <w:sz w:val="18"/>
              </w:rPr>
              <w:t>A stage</w:t>
            </w:r>
          </w:p>
        </w:tc>
      </w:tr>
      <w:tr>
        <w:tc>
          <w:tcPr>
            <w:tcW w:type="dxa" w:w="4049"/>
            <w:tcBorders>
              <w:bottom w:val="single" w:sz="6" w:space="4" w:color="D8DCE3"/>
            </w:tcBorders>
          </w:tcPr>
          <w:p>
            <w:pPr>
              <w:spacing w:after="60"/>
            </w:pPr>
            <w:r/>
            <w:r>
              <w:rPr>
                <w:rFonts w:ascii="Georgia" w:hAnsi="Georgia"/>
                <w:sz w:val="18"/>
              </w:rPr>
              <w:t>Override</w:t>
            </w:r>
          </w:p>
        </w:tc>
        <w:tc>
          <w:tcPr>
            <w:tcW w:type="dxa" w:w="4965"/>
            <w:tcBorders>
              <w:bottom w:val="single" w:sz="6" w:space="4" w:color="D8DCE3"/>
            </w:tcBorders>
          </w:tcPr>
          <w:p>
            <w:pPr>
              <w:spacing w:after="60"/>
            </w:pPr>
            <w:r/>
            <w:r>
              <w:rPr>
                <w:rFonts w:ascii="Georgia" w:hAnsi="Georgia"/>
                <w:sz w:val="18"/>
              </w:rPr>
              <w:t>An approval</w:t>
            </w:r>
          </w:p>
        </w:tc>
      </w:tr>
      <w:tr>
        <w:tc>
          <w:tcPr>
            <w:tcW w:type="dxa" w:w="4049"/>
            <w:tcBorders>
              <w:bottom w:val="single" w:sz="6" w:space="4" w:color="D8DCE3"/>
            </w:tcBorders>
          </w:tcPr>
          <w:p>
            <w:pPr>
              <w:spacing w:after="60"/>
            </w:pPr>
            <w:r/>
            <w:r>
              <w:rPr>
                <w:rFonts w:ascii="Georgia" w:hAnsi="Georgia"/>
                <w:sz w:val="18"/>
              </w:rPr>
              <w:t>Release</w:t>
            </w:r>
          </w:p>
        </w:tc>
        <w:tc>
          <w:tcPr>
            <w:tcW w:type="dxa" w:w="4965"/>
            <w:tcBorders>
              <w:bottom w:val="single" w:sz="6" w:space="4" w:color="D8DCE3"/>
            </w:tcBorders>
          </w:tcPr>
          <w:p>
            <w:pPr>
              <w:spacing w:after="60"/>
            </w:pPr>
            <w:r/>
            <w:r>
              <w:rPr>
                <w:rFonts w:ascii="Georgia" w:hAnsi="Georgia"/>
                <w:sz w:val="18"/>
              </w:rPr>
              <w:t>The release line</w:t>
            </w:r>
          </w:p>
        </w:tc>
      </w:tr>
      <w:tr>
        <w:tc>
          <w:tcPr>
            <w:tcW w:type="dxa" w:w="4049"/>
            <w:tcBorders>
              <w:bottom w:val="single" w:sz="6" w:space="4" w:color="D8DCE3"/>
            </w:tcBorders>
          </w:tcPr>
          <w:p>
            <w:pPr>
              <w:spacing w:after="60"/>
            </w:pPr>
            <w:r/>
            <w:r>
              <w:rPr>
                <w:rFonts w:ascii="Georgia" w:hAnsi="Georgia"/>
                <w:sz w:val="18"/>
              </w:rPr>
              <w:t>Non-functional requirement</w:t>
            </w:r>
          </w:p>
        </w:tc>
        <w:tc>
          <w:tcPr>
            <w:tcW w:type="dxa" w:w="4965"/>
            <w:tcBorders>
              <w:bottom w:val="single" w:sz="6" w:space="4" w:color="D8DCE3"/>
            </w:tcBorders>
          </w:tcPr>
          <w:p>
            <w:pPr>
              <w:spacing w:after="60"/>
            </w:pPr>
            <w:r/>
            <w:r>
              <w:rPr>
                <w:rFonts w:ascii="Georgia" w:hAnsi="Georgia"/>
                <w:sz w:val="18"/>
              </w:rPr>
              <w:t>A requirement in section 7</w:t>
            </w:r>
          </w:p>
        </w:tc>
      </w:tr>
      <w:tr>
        <w:tc>
          <w:tcPr>
            <w:tcW w:type="dxa" w:w="4049"/>
            <w:tcBorders>
              <w:bottom w:val="single" w:sz="6" w:space="4" w:color="D8DCE3"/>
            </w:tcBorders>
          </w:tcPr>
          <w:p>
            <w:pPr>
              <w:spacing w:after="60"/>
            </w:pPr>
            <w:r/>
            <w:r>
              <w:rPr>
                <w:rFonts w:ascii="Georgia" w:hAnsi="Georgia"/>
                <w:sz w:val="18"/>
              </w:rPr>
              <w:t>Acceptance criteria</w:t>
            </w:r>
          </w:p>
        </w:tc>
        <w:tc>
          <w:tcPr>
            <w:tcW w:type="dxa" w:w="4965"/>
            <w:tcBorders>
              <w:bottom w:val="single" w:sz="6" w:space="4" w:color="D8DCE3"/>
            </w:tcBorders>
          </w:tcPr>
          <w:p>
            <w:pPr>
              <w:spacing w:after="60"/>
            </w:pPr>
            <w:r/>
            <w:r>
              <w:rPr>
                <w:rFonts w:ascii="Georgia" w:hAnsi="Georgia"/>
                <w:sz w:val="18"/>
              </w:rPr>
              <w:t>Exit criteria</w:t>
            </w:r>
          </w:p>
        </w:tc>
      </w:tr>
      <w:tr>
        <w:tc>
          <w:tcPr>
            <w:tcW w:type="dxa" w:w="4049"/>
            <w:tcBorders>
              <w:bottom w:val="single" w:sz="6" w:space="4" w:color="D8DCE3"/>
            </w:tcBorders>
          </w:tcPr>
          <w:p>
            <w:pPr>
              <w:spacing w:after="60"/>
            </w:pPr>
            <w:r/>
            <w:r>
              <w:rPr>
                <w:rFonts w:ascii="Georgia" w:hAnsi="Georgia"/>
                <w:sz w:val="18"/>
              </w:rPr>
              <w:t>Epic</w:t>
            </w:r>
          </w:p>
        </w:tc>
        <w:tc>
          <w:tcPr>
            <w:tcW w:type="dxa" w:w="4965"/>
            <w:tcBorders>
              <w:bottom w:val="single" w:sz="6" w:space="4" w:color="D8DCE3"/>
            </w:tcBorders>
          </w:tcPr>
          <w:p>
            <w:pPr>
              <w:spacing w:after="60"/>
            </w:pPr>
            <w:r/>
            <w:r>
              <w:rPr>
                <w:rFonts w:ascii="Georgia" w:hAnsi="Georgia"/>
                <w:sz w:val="18"/>
              </w:rPr>
              <w:t>A feature</w:t>
            </w:r>
          </w:p>
        </w:tc>
      </w:tr>
      <w:tr>
        <w:tc>
          <w:tcPr>
            <w:tcW w:type="dxa" w:w="4049"/>
            <w:tcBorders>
              <w:bottom w:val="single" w:sz="6" w:space="4" w:color="D8DCE3"/>
            </w:tcBorders>
          </w:tcPr>
          <w:p>
            <w:pPr>
              <w:spacing w:after="60"/>
            </w:pPr>
            <w:r/>
            <w:r>
              <w:rPr>
                <w:rFonts w:ascii="Georgia" w:hAnsi="Georgia"/>
                <w:sz w:val="18"/>
              </w:rPr>
              <w:t>Vocabulary</w:t>
            </w:r>
          </w:p>
        </w:tc>
        <w:tc>
          <w:tcPr>
            <w:tcW w:type="dxa" w:w="4965"/>
            <w:tcBorders>
              <w:bottom w:val="single" w:sz="6" w:space="4" w:color="D8DCE3"/>
            </w:tcBorders>
          </w:tcPr>
          <w:p>
            <w:pPr>
              <w:spacing w:after="60"/>
            </w:pPr>
            <w:r/>
            <w:r>
              <w:rPr>
                <w:rFonts w:ascii="Georgia" w:hAnsi="Georgia"/>
                <w:sz w:val="18"/>
              </w:rPr>
              <w:t>The glossary</w:t>
            </w:r>
          </w:p>
        </w:tc>
      </w:tr>
      <w:tr>
        <w:tc>
          <w:tcPr>
            <w:tcW w:type="dxa" w:w="4049"/>
            <w:tcBorders>
              <w:bottom w:val="single" w:sz="6" w:space="4" w:color="D8DCE3"/>
            </w:tcBorders>
          </w:tcPr>
          <w:p>
            <w:pPr>
              <w:spacing w:after="60"/>
            </w:pPr>
            <w:r/>
            <w:r>
              <w:rPr>
                <w:rFonts w:ascii="Georgia" w:hAnsi="Georgia"/>
                <w:sz w:val="18"/>
              </w:rPr>
              <w:t>Persona</w:t>
            </w:r>
          </w:p>
        </w:tc>
        <w:tc>
          <w:tcPr>
            <w:tcW w:type="dxa" w:w="4965"/>
            <w:tcBorders>
              <w:bottom w:val="single" w:sz="6" w:space="4" w:color="D8DCE3"/>
            </w:tcBorders>
          </w:tcPr>
          <w:p>
            <w:pPr>
              <w:spacing w:after="60"/>
            </w:pPr>
            <w:r/>
            <w:r>
              <w:rPr>
                <w:rFonts w:ascii="Georgia" w:hAnsi="Georgia"/>
                <w:sz w:val="18"/>
              </w:rPr>
              <w:t>A user</w:t>
            </w:r>
          </w:p>
        </w:tc>
      </w:tr>
      <w:tr>
        <w:tc>
          <w:tcPr>
            <w:tcW w:type="dxa" w:w="4049"/>
            <w:tcBorders>
              <w:bottom w:val="single" w:sz="6" w:space="4" w:color="D8DCE3"/>
            </w:tcBorders>
          </w:tcPr>
          <w:p>
            <w:pPr>
              <w:spacing w:after="60"/>
            </w:pPr>
            <w:r/>
            <w:r>
              <w:rPr>
                <w:rFonts w:ascii="Georgia" w:hAnsi="Georgia"/>
                <w:sz w:val="18"/>
              </w:rPr>
              <w:t>Buyer</w:t>
            </w:r>
          </w:p>
        </w:tc>
        <w:tc>
          <w:tcPr>
            <w:tcW w:type="dxa" w:w="4965"/>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 so one epic holds the items that one release delivers. The source defines an epic as a large user story. This set keeps that it is large, and fixes its size by the release line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FR-019 and FR-020 split out; sources cited for standard terms; the versioning policy; FR-020 drawn in WF-001; Decider for trust rules; TR-014 to accept or refute a score; PRD or set in place of specification</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FR-019 and FR-020 split the early stop out of FR-004 and the check across the set out of FR-008, both `should` on the expert's decision. The glossary cites a source for MoSCoW, Given/When/Then, story, epic, feature, story map, backbone, and spike, says `wont` means won't have this time, and defines segment, buyer, status quo, delegated, and definition of done. WF-001 draws FR-020's list of differences, section 10 calls each rule's decider the Decider, and the versioning policy applies from 0.9.0 onward. On the expert's decision, TR-003 now only produces a section's score, and the new TR-014 asks the expert to accept or refute it, with a refutation recorded. FR-009 asks for that decision after each grade. The policy defines a change to the golden thread as structural, and "PRD" or "set" replaces "specification" wherever it meant this set.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