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88/100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422761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422761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609046"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609046"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99409"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799409"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863065"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863065"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90"/>
        <w:gridCol w:w="1290"/>
        <w:gridCol w:w="1488"/>
        <w:gridCol w:w="4600"/>
      </w:tblGrid>
      <w:tr>
        <w:tc>
          <w:tcPr>
            <w:tcW w:type="dxa" w:w="1290"/>
            <w:tcBorders>
              <w:bottom w:val="single" w:sz="12" w:space="4" w:color="16181D"/>
            </w:tcBorders>
          </w:tcPr>
          <w:p>
            <w:pPr>
              <w:spacing w:after="60"/>
            </w:pPr>
            <w:r/>
            <w:r>
              <w:rPr>
                <w:rFonts w:ascii="Calibri" w:hAnsi="Calibri"/>
                <w:b/>
                <w:caps/>
                <w:color w:val="5C6370"/>
                <w:sz w:val="15"/>
              </w:rPr>
              <w:t>ID</w:t>
            </w:r>
          </w:p>
        </w:tc>
        <w:tc>
          <w:tcPr>
            <w:tcW w:type="dxa" w:w="1290"/>
            <w:tcBorders>
              <w:bottom w:val="single" w:sz="12" w:space="4" w:color="16181D"/>
            </w:tcBorders>
          </w:tcPr>
          <w:p>
            <w:pPr>
              <w:spacing w:after="60"/>
            </w:pPr>
            <w:r/>
            <w:r>
              <w:rPr>
                <w:rFonts w:ascii="Calibri" w:hAnsi="Calibri"/>
                <w:b/>
                <w:caps/>
                <w:color w:val="5C6370"/>
                <w:sz w:val="15"/>
              </w:rPr>
              <w:t>Stage</w:t>
            </w:r>
          </w:p>
        </w:tc>
        <w:tc>
          <w:tcPr>
            <w:tcW w:type="dxa" w:w="1489"/>
            <w:tcBorders>
              <w:bottom w:val="single" w:sz="12" w:space="4" w:color="16181D"/>
            </w:tcBorders>
          </w:tcPr>
          <w:p>
            <w:pPr>
              <w:spacing w:after="60"/>
            </w:pPr>
            <w:r/>
            <w:r>
              <w:rPr>
                <w:rFonts w:ascii="Calibri" w:hAnsi="Calibri"/>
                <w:b/>
                <w:caps/>
                <w:color w:val="5C6370"/>
                <w:sz w:val="15"/>
              </w:rPr>
              <w:t>Variant</w:t>
            </w:r>
          </w:p>
        </w:tc>
        <w:tc>
          <w:tcPr>
            <w:tcW w:type="dxa" w:w="4600"/>
            <w:tcBorders>
              <w:bottom w:val="single" w:sz="12" w:space="4" w:color="16181D"/>
            </w:tcBorders>
          </w:tcPr>
          <w:p>
            <w:pPr>
              <w:spacing w:after="60"/>
            </w:pPr>
            <w:r/>
            <w:r>
              <w:rPr>
                <w:rFonts w:ascii="Calibri" w:hAnsi="Calibri"/>
                <w:b/>
                <w:caps/>
                <w:color w:val="5C6370"/>
                <w:sz w:val="15"/>
              </w:rPr>
              <w:t>What it covers</w:t>
            </w:r>
          </w:p>
        </w:tc>
      </w:tr>
      <w:tr>
        <w:tc>
          <w:tcPr>
            <w:tcW w:type="dxa" w:w="1290"/>
            <w:tcBorders>
              <w:bottom w:val="single" w:sz="6" w:space="4" w:color="D8DCE3"/>
            </w:tcBorders>
          </w:tcPr>
          <w:p>
            <w:pPr>
              <w:spacing w:after="60"/>
            </w:pPr>
            <w:r/>
            <w:r>
              <w:rPr>
                <w:rFonts w:ascii="Georgia" w:hAnsi="Georgia"/>
                <w:sz w:val="18"/>
              </w:rPr>
              <w:t>SC-001</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happy</w:t>
            </w:r>
          </w:p>
        </w:tc>
        <w:tc>
          <w:tcPr>
            <w:tcW w:type="dxa" w:w="4600"/>
            <w:tcBorders>
              <w:bottom w:val="single" w:sz="6" w:space="4" w:color="D8DCE3"/>
            </w:tcBorders>
          </w:tcPr>
          <w:p>
            <w:pPr>
              <w:spacing w:after="60"/>
            </w:pPr>
            <w:r/>
            <w:r>
              <w:rPr>
                <w:rFonts w:ascii="Georgia" w:hAnsi="Georgia"/>
                <w:sz w:val="18"/>
              </w:rPr>
              <w:t>A section taught, interviewed, drafted, graded, improved</w:t>
            </w:r>
          </w:p>
        </w:tc>
      </w:tr>
      <w:tr>
        <w:tc>
          <w:tcPr>
            <w:tcW w:type="dxa" w:w="1290"/>
            <w:tcBorders>
              <w:bottom w:val="single" w:sz="6" w:space="4" w:color="D8DCE3"/>
            </w:tcBorders>
          </w:tcPr>
          <w:p>
            <w:pPr>
              <w:spacing w:after="60"/>
            </w:pPr>
            <w:r/>
            <w:r>
              <w:rPr>
                <w:rFonts w:ascii="Georgia" w:hAnsi="Georgia"/>
                <w:sz w:val="18"/>
              </w:rPr>
              <w:t>SC-002</w:t>
            </w:r>
          </w:p>
        </w:tc>
        <w:tc>
          <w:tcPr>
            <w:tcW w:type="dxa" w:w="1290"/>
            <w:tcBorders>
              <w:bottom w:val="single" w:sz="6" w:space="4" w:color="D8DCE3"/>
            </w:tcBorders>
          </w:tcPr>
          <w:p>
            <w:pPr>
              <w:spacing w:after="60"/>
            </w:pPr>
            <w:r/>
            <w:r>
              <w:rPr>
                <w:rFonts w:ascii="Georgia" w:hAnsi="Georgia"/>
                <w:sz w:val="18"/>
              </w:rPr>
              <w:t>ST-004</w:t>
            </w:r>
          </w:p>
        </w:tc>
        <w:tc>
          <w:tcPr>
            <w:tcW w:type="dxa" w:w="1489"/>
            <w:tcBorders>
              <w:bottom w:val="single" w:sz="6" w:space="4" w:color="D8DCE3"/>
            </w:tcBorders>
          </w:tcPr>
          <w:p>
            <w:pPr>
              <w:spacing w:after="60"/>
            </w:pPr>
            <w:r/>
            <w:r>
              <w:rPr>
                <w:rFonts w:ascii="Georgia" w:hAnsi="Georgia"/>
                <w:sz w:val="18"/>
              </w:rPr>
              <w:t>alternate</w:t>
            </w:r>
          </w:p>
        </w:tc>
        <w:tc>
          <w:tcPr>
            <w:tcW w:type="dxa" w:w="4600"/>
            <w:tcBorders>
              <w:bottom w:val="single" w:sz="6" w:space="4" w:color="D8DCE3"/>
            </w:tcBorders>
          </w:tcPr>
          <w:p>
            <w:pPr>
              <w:spacing w:after="60"/>
            </w:pPr>
            <w:r/>
            <w:r>
              <w:rPr>
                <w:rFonts w:ascii="Georgia" w:hAnsi="Georgia"/>
                <w:sz w:val="18"/>
              </w:rPr>
              <w:t>Resuming after eight days away</w:t>
            </w:r>
          </w:p>
        </w:tc>
      </w:tr>
      <w:tr>
        <w:tc>
          <w:tcPr>
            <w:tcW w:type="dxa" w:w="1290"/>
            <w:tcBorders>
              <w:bottom w:val="single" w:sz="6" w:space="4" w:color="D8DCE3"/>
            </w:tcBorders>
          </w:tcPr>
          <w:p>
            <w:pPr>
              <w:spacing w:after="60"/>
            </w:pPr>
            <w:r/>
            <w:r>
              <w:rPr>
                <w:rFonts w:ascii="Georgia" w:hAnsi="Georgia"/>
                <w:sz w:val="18"/>
              </w:rPr>
              <w:t>SC-003</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states a technology</w:t>
            </w:r>
          </w:p>
        </w:tc>
      </w:tr>
      <w:tr>
        <w:tc>
          <w:tcPr>
            <w:tcW w:type="dxa" w:w="1290"/>
            <w:tcBorders>
              <w:bottom w:val="single" w:sz="6" w:space="4" w:color="D8DCE3"/>
            </w:tcBorders>
          </w:tcPr>
          <w:p>
            <w:pPr>
              <w:spacing w:after="60"/>
            </w:pPr>
            <w:r/>
            <w:r>
              <w:rPr>
                <w:rFonts w:ascii="Georgia" w:hAnsi="Georgia"/>
                <w:sz w:val="18"/>
              </w:rPr>
              <w:t>SC-004</w:t>
            </w:r>
          </w:p>
        </w:tc>
        <w:tc>
          <w:tcPr>
            <w:tcW w:type="dxa" w:w="1290"/>
            <w:tcBorders>
              <w:bottom w:val="single" w:sz="6" w:space="4" w:color="D8DCE3"/>
            </w:tcBorders>
          </w:tcPr>
          <w:p>
            <w:pPr>
              <w:spacing w:after="60"/>
            </w:pPr>
            <w:r/>
            <w:r>
              <w:rPr>
                <w:rFonts w:ascii="Georgia" w:hAnsi="Georgia"/>
                <w:sz w:val="18"/>
              </w:rPr>
              <w:t>ST-003</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refutes a grading finding</w:t>
            </w:r>
          </w:p>
        </w:tc>
      </w:tr>
      <w:tr>
        <w:tc>
          <w:tcPr>
            <w:tcW w:type="dxa" w:w="1290"/>
            <w:tcBorders>
              <w:bottom w:val="single" w:sz="6" w:space="4" w:color="D8DCE3"/>
            </w:tcBorders>
          </w:tcPr>
          <w:p>
            <w:pPr>
              <w:spacing w:after="60"/>
            </w:pPr>
            <w:r/>
            <w:r>
              <w:rPr>
                <w:rFonts w:ascii="Georgia" w:hAnsi="Georgia"/>
                <w:sz w:val="18"/>
              </w:rPr>
              <w:t>SC-005</w:t>
            </w:r>
          </w:p>
        </w:tc>
        <w:tc>
          <w:tcPr>
            <w:tcW w:type="dxa" w:w="1290"/>
            <w:tcBorders>
              <w:bottom w:val="single" w:sz="6" w:space="4" w:color="D8DCE3"/>
            </w:tcBorders>
          </w:tcPr>
          <w:p>
            <w:pPr>
              <w:spacing w:after="60"/>
            </w:pPr>
            <w:r/>
            <w:r>
              <w:rPr>
                <w:rFonts w:ascii="Georgia" w:hAnsi="Georgia"/>
                <w:sz w:val="18"/>
              </w:rPr>
              <w:t>ST-005</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Buildability review finds holes</w:t>
            </w:r>
          </w:p>
        </w:tc>
      </w:tr>
      <w:tr>
        <w:tc>
          <w:tcPr>
            <w:tcW w:type="dxa" w:w="1290"/>
            <w:tcBorders>
              <w:bottom w:val="single" w:sz="6" w:space="4" w:color="D8DCE3"/>
            </w:tcBorders>
          </w:tcPr>
          <w:p>
            <w:pPr>
              <w:spacing w:after="60"/>
            </w:pPr>
            <w:r/>
            <w:r>
              <w:rPr>
                <w:rFonts w:ascii="Georgia" w:hAnsi="Georgia"/>
                <w:sz w:val="18"/>
              </w:rPr>
              <w:t>SC-006</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has no baseline for a metric</w:t>
            </w:r>
          </w:p>
        </w:tc>
      </w:tr>
    </w:tbl>
    <w:p>
      <w:pPr>
        <w:spacing w:after="40"/>
      </w:pPr>
    </w:p>
    <w:p>
      <w:r>
        <w:rPr>
          <w:rFonts w:ascii="Georgia" w:hAnsi="Georgia"/>
        </w:rPr>
        <w:t>SC-001 is the end-to-end acceptance test for release 1. SC-005 is the expert's own run of the buildability review, which is why its persona is PER-001 and not the engineering lead: no engineering lead is in release 1 at all, per OUT-004.</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There are no </w:t>
      </w:r>
      <w:r>
        <w:rPr>
          <w:rFonts w:ascii="Consolas" w:hAnsi="Consolas"/>
          <w:sz w:val="19"/>
        </w:rPr>
        <w:t>should</w:t>
      </w:r>
      <w:r>
        <w:rPr>
          <w:rFonts w:ascii="Georgia" w:hAnsi="Georgia"/>
        </w:rPr>
        <w:t xml:space="preserve"> or </w:t>
      </w:r>
      <w:r>
        <w:rPr>
          <w:rFonts w:ascii="Consolas" w:hAnsi="Consolas"/>
          <w:sz w:val="19"/>
        </w:rPr>
        <w:t>could</w:t>
      </w:r>
      <w:r>
        <w:rPr>
          <w:rFonts w:ascii="Georgia" w:hAnsi="Georgia"/>
        </w:rPr>
        <w:t xml:space="preserve"> requirements in R1: the release line is already the smallest path, and anything that could be dropped has been dropped into section 6.</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through three views, a section, its grade, and its rubric, when they ask to go back three times, then they see the grade, then the section, then the view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13" name="Picture 13"/>
            <wp:cNvGraphicFramePr>
              <a:graphicFrameLocks noChangeAspect="1"/>
            </wp:cNvGraphicFramePr>
            <a:graphic>
              <a:graphicData uri="http://schemas.openxmlformats.org/drawingml/2006/picture">
                <pic:pic>
                  <pic:nvPicPr>
                    <pic:cNvPr id="0" name="WF-001.png"/>
                    <pic:cNvPicPr/>
                  </pic:nvPicPr>
                  <pic:blipFill>
                    <a:blip r:embed="rId21"/>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14" name="Picture 14"/>
            <wp:cNvGraphicFramePr>
              <a:graphicFrameLocks noChangeAspect="1"/>
            </wp:cNvGraphicFramePr>
            <a:graphic>
              <a:graphicData uri="http://schemas.openxmlformats.org/drawingml/2006/picture">
                <pic:pic>
                  <pic:nvPicPr>
                    <pic:cNvPr id="0" name="WF-002.png"/>
                    <pic:cNvPicPr/>
                  </pic:nvPicPr>
                  <pic:blipFill>
                    <a:blip r:embed="rId22"/>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15" name="Picture 15"/>
            <wp:cNvGraphicFramePr>
              <a:graphicFrameLocks noChangeAspect="1"/>
            </wp:cNvGraphicFramePr>
            <a:graphic>
              <a:graphicData uri="http://schemas.openxmlformats.org/drawingml/2006/picture">
                <pic:pic>
                  <pic:nvPicPr>
                    <pic:cNvPr id="0" name="WF-003.png"/>
                    <pic:cNvPicPr/>
                  </pic:nvPicPr>
                  <pic:blipFill>
                    <a:blip r:embed="rId23"/>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16" name="Picture 16"/>
            <wp:cNvGraphicFramePr>
              <a:graphicFrameLocks noChangeAspect="1"/>
            </wp:cNvGraphicFramePr>
            <a:graphic>
              <a:graphicData uri="http://schemas.openxmlformats.org/drawingml/2006/picture">
                <pic:pic>
                  <pic:nvPicPr>
                    <pic:cNvPr id="0" name="WF-004.png"/>
                    <pic:cNvPicPr/>
                  </pic:nvPicPr>
                  <pic:blipFill>
                    <a:blip r:embed="rId24"/>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17" name="Picture 17"/>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18" name="Picture 18"/>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0" name="Picture 20"/>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1" name="Picture 2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2" name="Picture 22"/>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C-001 the product reaches one expert inside a session they are already in, so simultaneous users are the host's load and not ours; NFR-003 therefore reads scale as the size of one set, which is the dimension we do control. If C-001 ever changes, concurrency comes back and this paragraph goes.</w:t>
      </w:r>
    </w:p>
    <w:p>
      <w:r>
        <w:rPr>
          <w:rFonts w:ascii="Georgia" w:hAnsi="Georgia"/>
        </w:rPr>
        <w:t xml:space="preserve">NFR-006 and NFR-012 set targets on things C-001 and C-002 say we do not own —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states a retention rule that no measurable requirement stood behind. NFR-010 is the one that answers C-003's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C-001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C-002 and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4528147" cy="7315200"/>
            <wp:docPr id="23" name="Picture 23"/>
            <wp:cNvGraphicFramePr>
              <a:graphicFrameLocks noChangeAspect="1"/>
            </wp:cNvGraphicFramePr>
            <a:graphic>
              <a:graphicData uri="http://schemas.openxmlformats.org/drawingml/2006/picture">
                <pic:pic>
                  <pic:nvPicPr>
                    <pic:cNvPr id="0" name="decision-rights.png"/>
                    <pic:cNvPicPr/>
                  </pic:nvPicPr>
                  <pic:blipFill>
                    <a:blip r:embed="rId28"/>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6"/>
        <w:gridCol w:w="2739"/>
        <w:gridCol w:w="1662"/>
        <w:gridCol w:w="1200"/>
        <w:gridCol w:w="1846"/>
      </w:tblGrid>
      <w:tr>
        <w:tc>
          <w:tcPr>
            <w:tcW w:type="dxa" w:w="1047"/>
            <w:tcBorders>
              <w:bottom w:val="single" w:sz="12" w:space="4" w:color="16181D"/>
            </w:tcBorders>
          </w:tcPr>
          <w:p>
            <w:pPr>
              <w:spacing w:after="60"/>
            </w:pPr>
            <w:r/>
            <w:r>
              <w:rPr>
                <w:rFonts w:ascii="Calibri" w:hAnsi="Calibri"/>
                <w:b/>
                <w:caps/>
                <w:color w:val="5C6370"/>
                <w:sz w:val="15"/>
              </w:rPr>
              <w:t>ID</w:t>
            </w:r>
          </w:p>
        </w:tc>
        <w:tc>
          <w:tcPr>
            <w:tcW w:type="dxa" w:w="2740"/>
            <w:tcBorders>
              <w:bottom w:val="single" w:sz="12" w:space="4" w:color="16181D"/>
            </w:tcBorders>
          </w:tcPr>
          <w:p>
            <w:pPr>
              <w:spacing w:after="60"/>
            </w:pPr>
            <w:r/>
            <w:r>
              <w:rPr>
                <w:rFonts w:ascii="Calibri" w:hAnsi="Calibri"/>
                <w:b/>
                <w:caps/>
                <w:color w:val="5C6370"/>
                <w:sz w:val="15"/>
              </w:rPr>
              <w:t>Question</w:t>
            </w:r>
          </w:p>
        </w:tc>
        <w:tc>
          <w:tcPr>
            <w:tcW w:type="dxa" w:w="1662"/>
            <w:tcBorders>
              <w:bottom w:val="single" w:sz="12" w:space="4" w:color="16181D"/>
            </w:tcBorders>
          </w:tcPr>
          <w:p>
            <w:pPr>
              <w:spacing w:after="60"/>
            </w:pPr>
            <w:r/>
            <w:r>
              <w:rPr>
                <w:rFonts w:ascii="Calibri" w:hAnsi="Calibri"/>
                <w:b/>
                <w:caps/>
                <w:color w:val="5C6370"/>
                <w:sz w:val="15"/>
              </w:rPr>
              <w:t>Decider</w:t>
            </w:r>
          </w:p>
        </w:tc>
        <w:tc>
          <w:tcPr>
            <w:tcW w:type="dxa" w:w="1201"/>
            <w:tcBorders>
              <w:bottom w:val="single" w:sz="12" w:space="4" w:color="16181D"/>
            </w:tcBorders>
          </w:tcPr>
          <w:p>
            <w:pPr>
              <w:spacing w:after="60"/>
            </w:pPr>
            <w:r/>
            <w:r>
              <w:rPr>
                <w:rFonts w:ascii="Calibri" w:hAnsi="Calibri"/>
                <w:b/>
                <w:caps/>
                <w:color w:val="5C6370"/>
                <w:sz w:val="15"/>
              </w:rPr>
              <w:t>By</w:t>
            </w:r>
          </w:p>
        </w:tc>
        <w:tc>
          <w:tcPr>
            <w:tcW w:type="dxa" w:w="1847"/>
            <w:tcBorders>
              <w:bottom w:val="single" w:sz="12" w:space="4" w:color="16181D"/>
            </w:tcBorders>
          </w:tcPr>
          <w:p>
            <w:pPr>
              <w:spacing w:after="60"/>
            </w:pPr>
            <w:r/>
            <w:r>
              <w:rPr>
                <w:rFonts w:ascii="Calibri" w:hAnsi="Calibri"/>
                <w:b/>
                <w:caps/>
                <w:color w:val="5C6370"/>
                <w:sz w:val="15"/>
              </w:rPr>
              <w:t>Blocks</w:t>
            </w:r>
          </w:p>
        </w:tc>
      </w:tr>
      <w:tr>
        <w:tc>
          <w:tcPr>
            <w:tcW w:type="dxa" w:w="1047"/>
            <w:tcBorders>
              <w:bottom w:val="single" w:sz="6" w:space="4" w:color="D8DCE3"/>
            </w:tcBorders>
          </w:tcPr>
          <w:p>
            <w:pPr>
              <w:spacing w:after="60"/>
            </w:pPr>
            <w:r/>
            <w:r>
              <w:rPr>
                <w:rFonts w:ascii="Georgia" w:hAnsi="Georgia"/>
                <w:sz w:val="18"/>
              </w:rPr>
              <w:t>Q-001</w:t>
            </w:r>
          </w:p>
        </w:tc>
        <w:tc>
          <w:tcPr>
            <w:tcW w:type="dxa" w:w="2740"/>
            <w:tcBorders>
              <w:bottom w:val="single" w:sz="6" w:space="4" w:color="D8DCE3"/>
            </w:tcBorders>
          </w:tcPr>
          <w:p>
            <w:pPr>
              <w:spacing w:after="60"/>
            </w:pPr>
            <w:r/>
            <w:r>
              <w:rPr>
                <w:rFonts w:ascii="Georgia" w:hAnsi="Georgia"/>
                <w:sz w:val="18"/>
              </w:rPr>
              <w:t>Today's first-pass buildability rate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O-001</w:t>
            </w:r>
          </w:p>
        </w:tc>
      </w:tr>
      <w:tr>
        <w:tc>
          <w:tcPr>
            <w:tcW w:type="dxa" w:w="1047"/>
            <w:tcBorders>
              <w:bottom w:val="single" w:sz="6" w:space="4" w:color="D8DCE3"/>
            </w:tcBorders>
          </w:tcPr>
          <w:p>
            <w:pPr>
              <w:spacing w:after="60"/>
            </w:pPr>
            <w:r/>
            <w:r>
              <w:rPr>
                <w:rFonts w:ascii="Georgia" w:hAnsi="Georgia"/>
                <w:sz w:val="18"/>
              </w:rPr>
              <w:t>Q-002</w:t>
            </w:r>
          </w:p>
        </w:tc>
        <w:tc>
          <w:tcPr>
            <w:tcW w:type="dxa" w:w="2740"/>
            <w:tcBorders>
              <w:bottom w:val="single" w:sz="6" w:space="4" w:color="D8DCE3"/>
            </w:tcBorders>
          </w:tcPr>
          <w:p>
            <w:pPr>
              <w:spacing w:after="60"/>
            </w:pPr>
            <w:r/>
            <w:r>
              <w:rPr>
                <w:rFonts w:ascii="Georgia" w:hAnsi="Georgia"/>
                <w:sz w:val="18"/>
              </w:rPr>
              <w:t>Today's idea-to-approval elapsed time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O-002</w:t>
            </w:r>
          </w:p>
        </w:tc>
      </w:tr>
      <w:tr>
        <w:tc>
          <w:tcPr>
            <w:tcW w:type="dxa" w:w="1047"/>
            <w:tcBorders>
              <w:bottom w:val="single" w:sz="6" w:space="4" w:color="D8DCE3"/>
            </w:tcBorders>
          </w:tcPr>
          <w:p>
            <w:pPr>
              <w:spacing w:after="60"/>
            </w:pPr>
            <w:r/>
            <w:r>
              <w:rPr>
                <w:rFonts w:ascii="Georgia" w:hAnsi="Georgia"/>
                <w:sz w:val="18"/>
              </w:rPr>
              <w:t>Q-003</w:t>
            </w:r>
          </w:p>
        </w:tc>
        <w:tc>
          <w:tcPr>
            <w:tcW w:type="dxa" w:w="2740"/>
            <w:tcBorders>
              <w:bottom w:val="single" w:sz="6" w:space="4" w:color="D8DCE3"/>
            </w:tcBorders>
          </w:tcPr>
          <w:p>
            <w:pPr>
              <w:spacing w:after="60"/>
            </w:pPr>
            <w:r/>
            <w:r>
              <w:rPr>
                <w:rFonts w:ascii="Georgia" w:hAnsi="Georgia"/>
                <w:sz w:val="18"/>
              </w:rPr>
              <w:t>Today's share of testable requirements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O-003</w:t>
            </w:r>
          </w:p>
        </w:tc>
      </w:tr>
      <w:tr>
        <w:tc>
          <w:tcPr>
            <w:tcW w:type="dxa" w:w="1047"/>
            <w:tcBorders>
              <w:bottom w:val="single" w:sz="6" w:space="4" w:color="D8DCE3"/>
            </w:tcBorders>
          </w:tcPr>
          <w:p>
            <w:pPr>
              <w:spacing w:after="60"/>
            </w:pPr>
            <w:r/>
            <w:r>
              <w:rPr>
                <w:rFonts w:ascii="Georgia" w:hAnsi="Georgia"/>
                <w:sz w:val="18"/>
              </w:rPr>
              <w:t>Q-004</w:t>
            </w:r>
          </w:p>
        </w:tc>
        <w:tc>
          <w:tcPr>
            <w:tcW w:type="dxa" w:w="2740"/>
            <w:tcBorders>
              <w:bottom w:val="single" w:sz="6" w:space="4" w:color="D8DCE3"/>
            </w:tcBorders>
          </w:tcPr>
          <w:p>
            <w:pPr>
              <w:spacing w:after="60"/>
            </w:pPr>
            <w:r/>
            <w:r>
              <w:rPr>
                <w:rFonts w:ascii="Georgia" w:hAnsi="Georgia"/>
                <w:sz w:val="18"/>
              </w:rPr>
              <w:t>Segment sizes, and which converts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2027-06-30</w:t>
            </w:r>
          </w:p>
        </w:tc>
        <w:tc>
          <w:tcPr>
            <w:tcW w:type="dxa" w:w="1847"/>
            <w:tcBorders>
              <w:bottom w:val="single" w:sz="6" w:space="4" w:color="D8DCE3"/>
            </w:tcBorders>
          </w:tcPr>
          <w:p>
            <w:pPr>
              <w:spacing w:after="60"/>
            </w:pPr>
            <w:r/>
            <w:r>
              <w:rPr>
                <w:rFonts w:ascii="Georgia" w:hAnsi="Georgia"/>
                <w:sz w:val="18"/>
              </w:rPr>
              <w:t>S-001..S-003</w:t>
            </w:r>
          </w:p>
        </w:tc>
      </w:tr>
      <w:tr>
        <w:tc>
          <w:tcPr>
            <w:tcW w:type="dxa" w:w="1047"/>
            <w:tcBorders>
              <w:bottom w:val="single" w:sz="6" w:space="4" w:color="D8DCE3"/>
            </w:tcBorders>
          </w:tcPr>
          <w:p>
            <w:pPr>
              <w:spacing w:after="60"/>
            </w:pPr>
            <w:r/>
            <w:r>
              <w:rPr>
                <w:rFonts w:ascii="Georgia" w:hAnsi="Georgia"/>
                <w:sz w:val="18"/>
              </w:rPr>
              <w:t>Q-005</w:t>
            </w:r>
          </w:p>
        </w:tc>
        <w:tc>
          <w:tcPr>
            <w:tcW w:type="dxa" w:w="2740"/>
            <w:tcBorders>
              <w:bottom w:val="single" w:sz="6" w:space="4" w:color="D8DCE3"/>
            </w:tcBorders>
          </w:tcPr>
          <w:p>
            <w:pPr>
              <w:spacing w:after="60"/>
            </w:pPr>
            <w:r/>
            <w:r>
              <w:rPr>
                <w:rFonts w:ascii="Georgia" w:hAnsi="Georgia"/>
                <w:sz w:val="18"/>
              </w:rPr>
              <w:t>Will a sponsor accept a graded specification</w:t>
            </w:r>
          </w:p>
        </w:tc>
        <w:tc>
          <w:tcPr>
            <w:tcW w:type="dxa" w:w="1662"/>
            <w:tcBorders>
              <w:bottom w:val="single" w:sz="6" w:space="4" w:color="D8DCE3"/>
            </w:tcBorders>
          </w:tcPr>
          <w:p>
            <w:pPr>
              <w:spacing w:after="60"/>
            </w:pPr>
            <w:r/>
            <w:r>
              <w:rPr>
                <w:rFonts w:ascii="Georgia" w:hAnsi="Georgia"/>
                <w:sz w:val="18"/>
              </w:rPr>
              <w:t>R. Hightower + 3 sponsors</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FR-013, TR-001</w:t>
            </w:r>
          </w:p>
        </w:tc>
      </w:tr>
      <w:tr>
        <w:tc>
          <w:tcPr>
            <w:tcW w:type="dxa" w:w="1047"/>
            <w:tcBorders>
              <w:bottom w:val="single" w:sz="6" w:space="4" w:color="D8DCE3"/>
            </w:tcBorders>
          </w:tcPr>
          <w:p>
            <w:pPr>
              <w:spacing w:after="60"/>
            </w:pPr>
            <w:r/>
            <w:r>
              <w:rPr>
                <w:rFonts w:ascii="Georgia" w:hAnsi="Georgia"/>
                <w:sz w:val="18"/>
              </w:rPr>
              <w:t>Q-006</w:t>
            </w:r>
          </w:p>
        </w:tc>
        <w:tc>
          <w:tcPr>
            <w:tcW w:type="dxa" w:w="2740"/>
            <w:tcBorders>
              <w:bottom w:val="single" w:sz="6" w:space="4" w:color="D8DCE3"/>
            </w:tcBorders>
          </w:tcPr>
          <w:p>
            <w:pPr>
              <w:spacing w:after="60"/>
            </w:pPr>
            <w:r/>
            <w:r>
              <w:rPr>
                <w:rFonts w:ascii="Georgia" w:hAnsi="Georgia"/>
                <w:sz w:val="18"/>
              </w:rPr>
              <w:t>Sections completed per sitting, and where they stop</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R-004, NFR-005</w:t>
            </w:r>
          </w:p>
        </w:tc>
      </w:tr>
      <w:tr>
        <w:tc>
          <w:tcPr>
            <w:tcW w:type="dxa" w:w="1047"/>
            <w:tcBorders>
              <w:bottom w:val="single" w:sz="6" w:space="4" w:color="D8DCE3"/>
            </w:tcBorders>
          </w:tcPr>
          <w:p>
            <w:pPr>
              <w:spacing w:after="60"/>
            </w:pPr>
            <w:r/>
            <w:r>
              <w:rPr>
                <w:rFonts w:ascii="Georgia" w:hAnsi="Georgia"/>
                <w:sz w:val="18"/>
              </w:rPr>
              <w:t>Q-007</w:t>
            </w:r>
          </w:p>
        </w:tc>
        <w:tc>
          <w:tcPr>
            <w:tcW w:type="dxa" w:w="2740"/>
            <w:tcBorders>
              <w:bottom w:val="single" w:sz="6" w:space="4" w:color="D8DCE3"/>
            </w:tcBorders>
          </w:tcPr>
          <w:p>
            <w:pPr>
              <w:spacing w:after="60"/>
            </w:pPr>
            <w:r/>
            <w:r>
              <w:rPr>
                <w:rFonts w:ascii="Georgia" w:hAnsi="Georgia"/>
                <w:sz w:val="18"/>
              </w:rPr>
              <w:t>Is the working order right, and how does looping back feel</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ST-004</w:t>
            </w:r>
          </w:p>
        </w:tc>
      </w:tr>
      <w:tr>
        <w:tc>
          <w:tcPr>
            <w:tcW w:type="dxa" w:w="1047"/>
            <w:tcBorders>
              <w:bottom w:val="single" w:sz="6" w:space="4" w:color="D8DCE3"/>
            </w:tcBorders>
          </w:tcPr>
          <w:p>
            <w:pPr>
              <w:spacing w:after="60"/>
            </w:pPr>
            <w:r/>
            <w:r>
              <w:rPr>
                <w:rFonts w:ascii="Georgia" w:hAnsi="Georgia"/>
                <w:sz w:val="18"/>
              </w:rPr>
              <w:t>Q-008</w:t>
            </w:r>
          </w:p>
        </w:tc>
        <w:tc>
          <w:tcPr>
            <w:tcW w:type="dxa" w:w="2740"/>
            <w:tcBorders>
              <w:bottom w:val="single" w:sz="6" w:space="4" w:color="D8DCE3"/>
            </w:tcBorders>
          </w:tcPr>
          <w:p>
            <w:pPr>
              <w:spacing w:after="60"/>
            </w:pPr>
            <w:r/>
            <w:r>
              <w:rPr>
                <w:rFonts w:ascii="Georgia" w:hAnsi="Georgia"/>
                <w:sz w:val="18"/>
              </w:rPr>
              <w:t>Disciplined or incomplete, to an engineering lead</w:t>
            </w:r>
          </w:p>
        </w:tc>
        <w:tc>
          <w:tcPr>
            <w:tcW w:type="dxa" w:w="1662"/>
            <w:tcBorders>
              <w:bottom w:val="single" w:sz="6" w:space="4" w:color="D8DCE3"/>
            </w:tcBorders>
          </w:tcPr>
          <w:p>
            <w:pPr>
              <w:spacing w:after="60"/>
            </w:pPr>
            <w:r/>
            <w:r>
              <w:rPr>
                <w:rFonts w:ascii="Georgia" w:hAnsi="Georgia"/>
                <w:sz w:val="18"/>
              </w:rPr>
              <w:t>R. Hightower + 3 leads</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A-003</w:t>
            </w:r>
          </w:p>
        </w:tc>
      </w:tr>
      <w:tr>
        <w:tc>
          <w:tcPr>
            <w:tcW w:type="dxa" w:w="1047"/>
            <w:tcBorders>
              <w:bottom w:val="single" w:sz="6" w:space="4" w:color="D8DCE3"/>
            </w:tcBorders>
          </w:tcPr>
          <w:p>
            <w:pPr>
              <w:spacing w:after="60"/>
            </w:pPr>
            <w:r/>
            <w:r>
              <w:rPr>
                <w:rFonts w:ascii="Georgia" w:hAnsi="Georgia"/>
                <w:sz w:val="18"/>
              </w:rPr>
              <w:t>Q-009</w:t>
            </w:r>
          </w:p>
        </w:tc>
        <w:tc>
          <w:tcPr>
            <w:tcW w:type="dxa" w:w="2740"/>
            <w:tcBorders>
              <w:bottom w:val="single" w:sz="6" w:space="4" w:color="D8DCE3"/>
            </w:tcBorders>
          </w:tcPr>
          <w:p>
            <w:pPr>
              <w:spacing w:after="60"/>
            </w:pPr>
            <w:r/>
            <w:r>
              <w:rPr>
                <w:rFonts w:ascii="Georgia" w:hAnsi="Georgia"/>
                <w:sz w:val="18"/>
              </w:rPr>
              <w:t>Where the rubric and the checks live, and who owns them</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FR-004, FR-009..FR-012, NFR-007</w:t>
            </w:r>
          </w:p>
        </w:tc>
      </w:tr>
      <w:tr>
        <w:tc>
          <w:tcPr>
            <w:tcW w:type="dxa" w:w="1047"/>
            <w:tcBorders>
              <w:bottom w:val="single" w:sz="6" w:space="4" w:color="D8DCE3"/>
            </w:tcBorders>
          </w:tcPr>
          <w:p>
            <w:pPr>
              <w:spacing w:after="60"/>
            </w:pPr>
            <w:r/>
            <w:r>
              <w:rPr>
                <w:rFonts w:ascii="Georgia" w:hAnsi="Georgia"/>
                <w:sz w:val="18"/>
              </w:rPr>
              <w:t>Q-010</w:t>
            </w:r>
          </w:p>
        </w:tc>
        <w:tc>
          <w:tcPr>
            <w:tcW w:type="dxa" w:w="2740"/>
            <w:tcBorders>
              <w:bottom w:val="single" w:sz="6" w:space="4" w:color="D8DCE3"/>
            </w:tcBorders>
          </w:tcPr>
          <w:p>
            <w:pPr>
              <w:spacing w:after="60"/>
            </w:pPr>
            <w:r/>
            <w:r>
              <w:rPr>
                <w:rFonts w:ascii="Georgia" w:hAnsi="Georgia"/>
                <w:sz w:val="18"/>
              </w:rPr>
              <w:t>Where an answer lives before its section is drafted</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FR-015, NFR-011</w:t>
            </w:r>
          </w:p>
        </w:tc>
      </w:tr>
      <w:tr>
        <w:tc>
          <w:tcPr>
            <w:tcW w:type="dxa" w:w="1047"/>
            <w:tcBorders>
              <w:bottom w:val="single" w:sz="6" w:space="4" w:color="D8DCE3"/>
            </w:tcBorders>
          </w:tcPr>
          <w:p>
            <w:pPr>
              <w:spacing w:after="60"/>
            </w:pPr>
            <w:r/>
            <w:r>
              <w:rPr>
                <w:rFonts w:ascii="Georgia" w:hAnsi="Georgia"/>
                <w:sz w:val="18"/>
              </w:rPr>
              <w:t>Q-011</w:t>
            </w:r>
          </w:p>
        </w:tc>
        <w:tc>
          <w:tcPr>
            <w:tcW w:type="dxa" w:w="2740"/>
            <w:tcBorders>
              <w:bottom w:val="single" w:sz="6" w:space="4" w:color="D8DCE3"/>
            </w:tcBorders>
          </w:tcPr>
          <w:p>
            <w:pPr>
              <w:spacing w:after="60"/>
            </w:pPr>
            <w:r/>
            <w:r>
              <w:rPr>
                <w:rFonts w:ascii="Georgia" w:hAnsi="Georgia"/>
                <w:sz w:val="18"/>
              </w:rPr>
              <w:t>How an approver records a decision, and who owns NFR-006/012</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2027-02-28</w:t>
            </w:r>
          </w:p>
        </w:tc>
        <w:tc>
          <w:tcPr>
            <w:tcW w:type="dxa" w:w="1847"/>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breaches a stated constraint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that C-003 forbids retaining content outside the documents and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breaches a stated policy constraint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C-001 puts the product inside the expert's session and OUT-003 excludes any view of our own, and who owns NFR-006's accessibility and NFR-012's access control, which describe things C-001 and C-002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three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5486399" cy="6599075"/>
            <wp:docPr id="24" name="Picture 24"/>
            <wp:cNvGraphicFramePr>
              <a:graphicFrameLocks noChangeAspect="1"/>
            </wp:cNvGraphicFramePr>
            <a:graphic>
              <a:graphicData uri="http://schemas.openxmlformats.org/drawingml/2006/picture">
                <pic:pic>
                  <pic:nvPicPr>
                    <pic:cNvPr id="0" name="release-line.png"/>
                    <pic:cNvPicPr/>
                  </pic:nvPicPr>
                  <pic:blipFill>
                    <a:blip r:embed="rId29"/>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0"/>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0.6.0,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