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7"/>
        <w:gridCol w:w="1224"/>
        <w:gridCol w:w="3644"/>
        <w:gridCol w:w="1272"/>
        <w:gridCol w:w="1177"/>
      </w:tblGrid>
      <w:tr>
        <w:tc>
          <w:tcPr>
            <w:tcW w:type="dxa" w:w="1177"/>
            <w:tcBorders>
              <w:bottom w:val="single" w:sz="12" w:space="4" w:color="16181D"/>
            </w:tcBorders>
          </w:tcPr>
          <w:p>
            <w:pPr>
              <w:spacing w:after="60"/>
            </w:pPr>
            <w:r/>
            <w:r>
              <w:rPr>
                <w:rFonts w:ascii="Calibri" w:hAnsi="Calibri"/>
                <w:b/>
                <w:caps/>
                <w:color w:val="5C6370"/>
                <w:sz w:val="15"/>
              </w:rPr>
              <w:t>ID</w:t>
            </w:r>
          </w:p>
        </w:tc>
        <w:tc>
          <w:tcPr>
            <w:tcW w:type="dxa" w:w="1225"/>
            <w:tcBorders>
              <w:bottom w:val="single" w:sz="12" w:space="4" w:color="16181D"/>
            </w:tcBorders>
          </w:tcPr>
          <w:p>
            <w:pPr>
              <w:spacing w:after="60"/>
            </w:pPr>
            <w:r/>
            <w:r>
              <w:rPr>
                <w:rFonts w:ascii="Calibri" w:hAnsi="Calibri"/>
                <w:b/>
                <w:caps/>
                <w:color w:val="5C6370"/>
                <w:sz w:val="15"/>
              </w:rPr>
              <w:t>User</w:t>
            </w:r>
          </w:p>
        </w:tc>
        <w:tc>
          <w:tcPr>
            <w:tcW w:type="dxa" w:w="3644"/>
            <w:tcBorders>
              <w:bottom w:val="single" w:sz="12" w:space="4" w:color="16181D"/>
            </w:tcBorders>
          </w:tcPr>
          <w:p>
            <w:pPr>
              <w:spacing w:after="60"/>
            </w:pPr>
            <w:r/>
            <w:r>
              <w:rPr>
                <w:rFonts w:ascii="Calibri" w:hAnsi="Calibri"/>
                <w:b/>
                <w:caps/>
                <w:color w:val="5C6370"/>
                <w:sz w:val="15"/>
              </w:rPr>
              <w:t>Capability</w:t>
            </w:r>
          </w:p>
        </w:tc>
        <w:tc>
          <w:tcPr>
            <w:tcW w:type="dxa" w:w="1272"/>
            <w:tcBorders>
              <w:bottom w:val="single" w:sz="12" w:space="4" w:color="16181D"/>
            </w:tcBorders>
          </w:tcPr>
          <w:p>
            <w:pPr>
              <w:spacing w:after="60"/>
            </w:pPr>
            <w:r/>
            <w:r>
              <w:rPr>
                <w:rFonts w:ascii="Calibri" w:hAnsi="Calibri"/>
                <w:b/>
                <w:caps/>
                <w:color w:val="5C6370"/>
                <w:sz w:val="15"/>
              </w:rPr>
              <w:t>Priority</w:t>
            </w:r>
          </w:p>
        </w:tc>
        <w:tc>
          <w:tcPr>
            <w:tcW w:type="dxa" w:w="1177"/>
            <w:tcBorders>
              <w:bottom w:val="single" w:sz="12" w:space="4" w:color="16181D"/>
            </w:tcBorders>
          </w:tcPr>
          <w:p>
            <w:pPr>
              <w:spacing w:after="60"/>
            </w:pPr>
            <w:r/>
            <w:r>
              <w:rPr>
                <w:rFonts w:ascii="Calibri" w:hAnsi="Calibri"/>
                <w:b/>
                <w:caps/>
                <w:color w:val="5C6370"/>
                <w:sz w:val="15"/>
              </w:rPr>
              <w:t>Stage</w:t>
            </w:r>
          </w:p>
        </w:tc>
      </w:tr>
      <w:tr>
        <w:tc>
          <w:tcPr>
            <w:tcW w:type="dxa" w:w="1177"/>
            <w:tcBorders>
              <w:bottom w:val="single" w:sz="6" w:space="4" w:color="D8DCE3"/>
            </w:tcBorders>
          </w:tcPr>
          <w:p>
            <w:pPr>
              <w:spacing w:after="60"/>
            </w:pPr>
            <w:r/>
            <w:r>
              <w:rPr>
                <w:rFonts w:ascii="Georgia" w:hAnsi="Georgia"/>
                <w:sz w:val="18"/>
              </w:rPr>
              <w:t>FR-001</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State the idea; establish the vocabulary once</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ST-001</w:t>
            </w:r>
          </w:p>
        </w:tc>
      </w:tr>
      <w:tr>
        <w:tc>
          <w:tcPr>
            <w:tcW w:type="dxa" w:w="1177"/>
            <w:tcBorders>
              <w:bottom w:val="single" w:sz="6" w:space="4" w:color="D8DCE3"/>
            </w:tcBorders>
          </w:tcPr>
          <w:p>
            <w:pPr>
              <w:spacing w:after="60"/>
            </w:pPr>
            <w:r/>
            <w:r>
              <w:rPr>
                <w:rFonts w:ascii="Georgia" w:hAnsi="Georgia"/>
                <w:sz w:val="18"/>
              </w:rPr>
              <w:t>FR-002</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See the whole set's state at a glance</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ST-001</w:t>
            </w:r>
          </w:p>
        </w:tc>
      </w:tr>
      <w:tr>
        <w:tc>
          <w:tcPr>
            <w:tcW w:type="dxa" w:w="1177"/>
            <w:tcBorders>
              <w:bottom w:val="single" w:sz="6" w:space="4" w:color="D8DCE3"/>
            </w:tcBorders>
          </w:tcPr>
          <w:p>
            <w:pPr>
              <w:spacing w:after="60"/>
            </w:pPr>
            <w:r/>
            <w:r>
              <w:rPr>
                <w:rFonts w:ascii="Georgia" w:hAnsi="Georgia"/>
                <w:sz w:val="18"/>
              </w:rPr>
              <w:t>FR-003</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Be taught the section before being asked</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FR-004</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Be asked one or two questions at a time</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FR-005</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End a section and see what was left behind</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FR-006</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Unknown facts become open questions, never inventions</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FR-007</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Technology talk converted; preference preserved</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FR-008</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Read the draft as prose</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FR-009</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See score, blocking defects, weakest part</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FR-010</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Be asked one question, not twelve</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ST-004</w:t>
            </w:r>
          </w:p>
        </w:tc>
      </w:tr>
      <w:tr>
        <w:tc>
          <w:tcPr>
            <w:tcW w:type="dxa" w:w="1177"/>
            <w:tcBorders>
              <w:bottom w:val="single" w:sz="6" w:space="4" w:color="D8DCE3"/>
            </w:tcBorders>
          </w:tcPr>
          <w:p>
            <w:pPr>
              <w:spacing w:after="60"/>
            </w:pPr>
            <w:r/>
            <w:r>
              <w:rPr>
                <w:rFonts w:ascii="Georgia" w:hAnsi="Georgia"/>
                <w:sz w:val="18"/>
              </w:rPr>
              <w:t>FR-011</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See the re-grade against the same standard</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ST-004</w:t>
            </w:r>
          </w:p>
        </w:tc>
      </w:tr>
      <w:tr>
        <w:tc>
          <w:tcPr>
            <w:tcW w:type="dxa" w:w="1177"/>
            <w:tcBorders>
              <w:bottom w:val="single" w:sz="6" w:space="4" w:color="D8DCE3"/>
            </w:tcBorders>
          </w:tcPr>
          <w:p>
            <w:pPr>
              <w:spacing w:after="60"/>
            </w:pPr>
            <w:r/>
            <w:r>
              <w:rPr>
                <w:rFonts w:ascii="Georgia" w:hAnsi="Georgia"/>
                <w:sz w:val="18"/>
              </w:rPr>
              <w:t>FR-012</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See what a team could not build from it</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ST-005</w:t>
            </w:r>
          </w:p>
        </w:tc>
      </w:tr>
      <w:tr>
        <w:tc>
          <w:tcPr>
            <w:tcW w:type="dxa" w:w="1177"/>
            <w:tcBorders>
              <w:bottom w:val="single" w:sz="6" w:space="4" w:color="D8DCE3"/>
            </w:tcBorders>
          </w:tcPr>
          <w:p>
            <w:pPr>
              <w:spacing w:after="60"/>
            </w:pPr>
            <w:r/>
            <w:r>
              <w:rPr>
                <w:rFonts w:ascii="Georgia" w:hAnsi="Georgia"/>
                <w:sz w:val="18"/>
              </w:rPr>
              <w:t>FR-013</w:t>
            </w:r>
          </w:p>
        </w:tc>
        <w:tc>
          <w:tcPr>
            <w:tcW w:type="dxa" w:w="1225"/>
            <w:tcBorders>
              <w:bottom w:val="single" w:sz="6" w:space="4" w:color="D8DCE3"/>
            </w:tcBorders>
          </w:tcPr>
          <w:p>
            <w:pPr>
              <w:spacing w:after="60"/>
            </w:pPr>
            <w:r/>
            <w:r>
              <w:rPr>
                <w:rFonts w:ascii="Georgia" w:hAnsi="Georgia"/>
                <w:sz w:val="18"/>
              </w:rPr>
              <w:t>PER-003</w:t>
            </w:r>
          </w:p>
        </w:tc>
        <w:tc>
          <w:tcPr>
            <w:tcW w:type="dxa" w:w="3644"/>
            <w:tcBorders>
              <w:bottom w:val="single" w:sz="6" w:space="4" w:color="D8DCE3"/>
            </w:tcBorders>
          </w:tcPr>
          <w:p>
            <w:pPr>
              <w:spacing w:after="60"/>
            </w:pPr>
            <w:r/>
            <w:r>
              <w:rPr>
                <w:rFonts w:ascii="Georgia" w:hAnsi="Georgia"/>
                <w:sz w:val="18"/>
              </w:rPr>
              <w:t>See what is approved and what is open, on one page</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ST-006</w:t>
            </w:r>
          </w:p>
        </w:tc>
      </w:tr>
      <w:tr>
        <w:tc>
          <w:tcPr>
            <w:tcW w:type="dxa" w:w="1177"/>
            <w:tcBorders>
              <w:bottom w:val="single" w:sz="6" w:space="4" w:color="D8DCE3"/>
            </w:tcBorders>
          </w:tcPr>
          <w:p>
            <w:pPr>
              <w:spacing w:after="60"/>
            </w:pPr>
            <w:r/>
            <w:r>
              <w:rPr>
                <w:rFonts w:ascii="Georgia" w:hAnsi="Georgia"/>
                <w:sz w:val="18"/>
              </w:rPr>
              <w:t>FR-014</w:t>
            </w:r>
          </w:p>
        </w:tc>
        <w:tc>
          <w:tcPr>
            <w:tcW w:type="dxa" w:w="1225"/>
            <w:tcBorders>
              <w:bottom w:val="single" w:sz="6" w:space="4" w:color="D8DCE3"/>
            </w:tcBorders>
          </w:tcPr>
          <w:p>
            <w:pPr>
              <w:spacing w:after="60"/>
            </w:pPr>
            <w:r/>
            <w:r>
              <w:rPr>
                <w:rFonts w:ascii="Georgia" w:hAnsi="Georgia"/>
                <w:sz w:val="18"/>
              </w:rPr>
              <w:t>PER-003</w:t>
            </w:r>
          </w:p>
        </w:tc>
        <w:tc>
          <w:tcPr>
            <w:tcW w:type="dxa" w:w="3644"/>
            <w:tcBorders>
              <w:bottom w:val="single" w:sz="6" w:space="4" w:color="D8DCE3"/>
            </w:tcBorders>
          </w:tcPr>
          <w:p>
            <w:pPr>
              <w:spacing w:after="60"/>
            </w:pPr>
            <w:r/>
            <w:r>
              <w:rPr>
                <w:rFonts w:ascii="Georgia" w:hAnsi="Georgia"/>
                <w:sz w:val="18"/>
              </w:rPr>
              <w:t>Approve, with conditions, against a version</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ST-006</w:t>
            </w:r>
          </w:p>
        </w:tc>
      </w:tr>
      <w:tr>
        <w:tc>
          <w:tcPr>
            <w:tcW w:type="dxa" w:w="1177"/>
            <w:tcBorders>
              <w:bottom w:val="single" w:sz="6" w:space="4" w:color="D8DCE3"/>
            </w:tcBorders>
          </w:tcPr>
          <w:p>
            <w:pPr>
              <w:spacing w:after="60"/>
            </w:pPr>
            <w:r/>
            <w:r>
              <w:rPr>
                <w:rFonts w:ascii="Georgia" w:hAnsi="Georgia"/>
                <w:sz w:val="18"/>
              </w:rPr>
              <w:t>FR-015</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Stop and resume without being asked anything twice</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ST-004</w:t>
            </w:r>
          </w:p>
        </w:tc>
      </w:tr>
      <w:tr>
        <w:tc>
          <w:tcPr>
            <w:tcW w:type="dxa" w:w="1177"/>
            <w:tcBorders>
              <w:bottom w:val="single" w:sz="6" w:space="4" w:color="D8DCE3"/>
            </w:tcBorders>
          </w:tcPr>
          <w:p>
            <w:pPr>
              <w:spacing w:after="60"/>
            </w:pPr>
            <w:r/>
            <w:r>
              <w:rPr>
                <w:rFonts w:ascii="Georgia" w:hAnsi="Georgia"/>
                <w:sz w:val="18"/>
              </w:rPr>
              <w:t>FR-016</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Refute a finding and have it withdrawn</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FR-017</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Move to any section without losing their place</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FR-018</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See the set as it now stands</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FR-019</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Stop being asked once the section would meet the gate</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ST-002</w:t>
            </w:r>
          </w:p>
        </w:tc>
      </w:tr>
      <w:tr>
        <w:tc>
          <w:tcPr>
            <w:tcW w:type="dxa" w:w="1177"/>
            <w:tcBorders>
              <w:bottom w:val="single" w:sz="6" w:space="4" w:color="D8DCE3"/>
            </w:tcBorders>
          </w:tcPr>
          <w:p>
            <w:pPr>
              <w:spacing w:after="60"/>
            </w:pPr>
            <w:r/>
            <w:r>
              <w:rPr>
                <w:rFonts w:ascii="Georgia" w:hAnsi="Georgia"/>
                <w:sz w:val="18"/>
              </w:rPr>
              <w:t>FR-020</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Be told when the set states one item two ways</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ST-003</w:t>
            </w:r>
          </w:p>
        </w:tc>
      </w:tr>
      <w:tr>
        <w:tc>
          <w:tcPr>
            <w:tcW w:type="dxa" w:w="1177"/>
            <w:tcBorders>
              <w:bottom w:val="single" w:sz="6" w:space="4" w:color="D8DCE3"/>
            </w:tcBorders>
          </w:tcPr>
          <w:p>
            <w:pPr>
              <w:spacing w:after="60"/>
            </w:pPr>
            <w:r/>
            <w:r>
              <w:rPr>
                <w:rFonts w:ascii="Georgia" w:hAnsi="Georgia"/>
                <w:sz w:val="18"/>
              </w:rPr>
              <w:t>FR-021</w:t>
            </w:r>
          </w:p>
        </w:tc>
        <w:tc>
          <w:tcPr>
            <w:tcW w:type="dxa" w:w="1225"/>
            <w:tcBorders>
              <w:bottom w:val="single" w:sz="6" w:space="4" w:color="D8DCE3"/>
            </w:tcBorders>
          </w:tcPr>
          <w:p>
            <w:pPr>
              <w:spacing w:after="60"/>
            </w:pPr>
            <w:r/>
            <w:r>
              <w:rPr>
                <w:rFonts w:ascii="Georgia" w:hAnsi="Georgia"/>
                <w:sz w:val="18"/>
              </w:rPr>
              <w:t>PER-001</w:t>
            </w:r>
          </w:p>
        </w:tc>
        <w:tc>
          <w:tcPr>
            <w:tcW w:type="dxa" w:w="3644"/>
            <w:tcBorders>
              <w:bottom w:val="single" w:sz="6" w:space="4" w:color="D8DCE3"/>
            </w:tcBorders>
          </w:tcPr>
          <w:p>
            <w:pPr>
              <w:spacing w:after="60"/>
            </w:pPr>
            <w:r/>
            <w:r>
              <w:rPr>
                <w:rFonts w:ascii="Georgia" w:hAnsi="Georgia"/>
                <w:sz w:val="18"/>
              </w:rPr>
              <w:t>Name each approver before offering the set</w:t>
            </w:r>
          </w:p>
        </w:tc>
        <w:tc>
          <w:tcPr>
            <w:tcW w:type="dxa" w:w="1272"/>
            <w:tcBorders>
              <w:bottom w:val="single" w:sz="6" w:space="4" w:color="D8DCE3"/>
            </w:tcBorders>
          </w:tcPr>
          <w:p>
            <w:pPr>
              <w:spacing w:after="60"/>
            </w:pPr>
            <w:r/>
            <w:r>
              <w:rPr>
                <w:rFonts w:ascii="Georgia" w:hAnsi="Georgia"/>
                <w:sz w:val="18"/>
              </w:rPr>
              <w:t>must</w:t>
            </w:r>
          </w:p>
        </w:tc>
        <w:tc>
          <w:tcPr>
            <w:tcW w:type="dxa" w:w="1177"/>
            <w:tcBorders>
              <w:bottom w:val="single" w:sz="6" w:space="4" w:color="D8DCE3"/>
            </w:tcBorders>
          </w:tcPr>
          <w:p>
            <w:pPr>
              <w:spacing w:after="60"/>
            </w:pPr>
            <w:r/>
            <w:r>
              <w:rPr>
                <w:rFonts w:ascii="Georgia" w:hAnsi="Georgia"/>
                <w:sz w:val="18"/>
              </w:rPr>
              <w:t>ST-006</w:t>
            </w:r>
          </w:p>
        </w:tc>
      </w:tr>
      <w:tr>
        <w:tc>
          <w:tcPr>
            <w:tcW w:type="dxa" w:w="1177"/>
            <w:tcBorders>
              <w:bottom w:val="single" w:sz="6" w:space="4" w:color="D8DCE3"/>
            </w:tcBorders>
          </w:tcPr>
          <w:p>
            <w:pPr>
              <w:spacing w:after="60"/>
            </w:pPr>
            <w:r/>
            <w:r>
              <w:rPr>
                <w:rFonts w:ascii="Georgia" w:hAnsi="Georgia"/>
                <w:sz w:val="18"/>
              </w:rPr>
              <w:t>FR-022</w:t>
            </w:r>
          </w:p>
        </w:tc>
        <w:tc>
          <w:tcPr>
            <w:tcW w:type="dxa" w:w="1225"/>
            <w:tcBorders>
              <w:bottom w:val="single" w:sz="6" w:space="4" w:color="D8DCE3"/>
            </w:tcBorders>
          </w:tcPr>
          <w:p>
            <w:pPr>
              <w:spacing w:after="60"/>
            </w:pPr>
            <w:r/>
            <w:r>
              <w:rPr>
                <w:rFonts w:ascii="Georgia" w:hAnsi="Georgia"/>
                <w:sz w:val="18"/>
              </w:rPr>
              <w:t>PER-003</w:t>
            </w:r>
          </w:p>
        </w:tc>
        <w:tc>
          <w:tcPr>
            <w:tcW w:type="dxa" w:w="3644"/>
            <w:tcBorders>
              <w:bottom w:val="single" w:sz="6" w:space="4" w:color="D8DCE3"/>
            </w:tcBorders>
          </w:tcPr>
          <w:p>
            <w:pPr>
              <w:spacing w:after="60"/>
            </w:pPr>
            <w:r/>
            <w:r>
              <w:rPr>
                <w:rFonts w:ascii="Georgia" w:hAnsi="Georgia"/>
                <w:sz w:val="18"/>
              </w:rPr>
              <w:t>Comment on an exported copy, and see each comment answered</w:t>
            </w:r>
          </w:p>
        </w:tc>
        <w:tc>
          <w:tcPr>
            <w:tcW w:type="dxa" w:w="1272"/>
            <w:tcBorders>
              <w:bottom w:val="single" w:sz="6" w:space="4" w:color="D8DCE3"/>
            </w:tcBorders>
          </w:tcPr>
          <w:p>
            <w:pPr>
              <w:spacing w:after="60"/>
            </w:pPr>
            <w:r/>
            <w:r>
              <w:rPr>
                <w:rFonts w:ascii="Georgia" w:hAnsi="Georgia"/>
                <w:sz w:val="18"/>
              </w:rPr>
              <w:t>should</w:t>
            </w:r>
          </w:p>
        </w:tc>
        <w:tc>
          <w:tcPr>
            <w:tcW w:type="dxa" w:w="1177"/>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FR-022 brings those comments back, and the next copy carries the answers. WF-011 shows that copy.</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6" w:name="FR_022"/>
      <w:r>
        <w:rPr>
          <w:rFonts w:ascii="Calibri" w:hAnsi="Calibri"/>
          <w:b/>
          <w:color w:val="1F4E79"/>
          <w:sz w:val="20"/>
        </w:rPr>
        <w:t>FR-022</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 answered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has every comment answered as accepted, declined, or answered, and reads the answer in the next copy.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 expert brings the copy's comments into the set, then each comment is recorded against that item with the sponsor's name,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with no answer, when the expert offers the set for approval, then it is not offered, and they are told which comments have no answer.</w:t>
            </w:r>
          </w:p>
          <w:p>
            <w:pPr>
              <w:spacing w:after="40"/>
              <w:ind w:left="173"/>
            </w:pPr>
            <w:r>
              <w:rPr>
                <w:rFonts w:ascii="Georgia" w:hAnsi="Georgia"/>
                <w:sz w:val="19"/>
              </w:rPr>
              <w:t>• Given a comment the team answered, when the sponsor reads the next exported copy, then they see the comment, its status, and the reason.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7" w:name="prd_forge_wireframes"/>
      <w:r>
        <w:t>Wireframes</w:t>
      </w:r>
      <w:bookmarkEnd w:id="67"/>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answered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The comments and the dates are invented, to show the form. The ids are the set's own.</w:t>
      </w:r>
    </w:p>
    <w:p>
      <w:pPr>
        <w:jc w:val="center"/>
      </w:pPr>
      <w:r>
        <w:drawing>
          <wp:inline xmlns:a="http://schemas.openxmlformats.org/drawingml/2006/main" xmlns:pic="http://schemas.openxmlformats.org/drawingml/2006/picture">
            <wp:extent cx="5486400" cy="3086804"/>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3086804"/>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68" w:name="WF_001"/>
      <w:r>
        <w:rPr>
          <w:rFonts w:ascii="Calibri" w:hAnsi="Calibri"/>
          <w:b/>
          <w:color w:val="1F4E79"/>
          <w:sz w:val="20"/>
        </w:rPr>
        <w:t xml:space="preserve">WF-001  </w:t>
      </w:r>
      <w:r>
        <w:rPr>
          <w:rFonts w:ascii="Calibri" w:hAnsi="Calibri"/>
          <w:b/>
          <w:sz w:val="20"/>
        </w:rPr>
        <w:t>The set with one section open</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9" w:name="WF_002"/>
      <w:r>
        <w:rPr>
          <w:rFonts w:ascii="Calibri" w:hAnsi="Calibri"/>
          <w:b/>
          <w:color w:val="1F4E79"/>
          <w:sz w:val="20"/>
        </w:rPr>
        <w:t xml:space="preserve">WF-002  </w:t>
      </w:r>
      <w:r>
        <w:rPr>
          <w:rFonts w:ascii="Calibri" w:hAnsi="Calibri"/>
          <w:b/>
          <w:sz w:val="20"/>
        </w:rPr>
        <w:t>A new set, before the first interview</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0" w:name="WF_003"/>
      <w:r>
        <w:rPr>
          <w:rFonts w:ascii="Calibri" w:hAnsi="Calibri"/>
          <w:b/>
          <w:color w:val="1F4E79"/>
          <w:sz w:val="20"/>
        </w:rPr>
        <w:t xml:space="preserve">WF-003  </w:t>
      </w:r>
      <w:r>
        <w:rPr>
          <w:rFonts w:ascii="Calibri" w:hAnsi="Calibri"/>
          <w:b/>
          <w:sz w:val="20"/>
        </w:rPr>
        <w:t>Why a section got its grade</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1" w:name="WF_004"/>
      <w:r>
        <w:rPr>
          <w:rFonts w:ascii="Calibri" w:hAnsi="Calibri"/>
          <w:b/>
          <w:color w:val="1F4E79"/>
          <w:sz w:val="20"/>
        </w:rPr>
        <w:t xml:space="preserve">WF-004  </w:t>
      </w:r>
      <w:r>
        <w:rPr>
          <w:rFonts w:ascii="Calibri" w:hAnsi="Calibri"/>
          <w:b/>
          <w:sz w:val="20"/>
        </w:rPr>
        <w:t>The standard a section is graded against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2" w:name="WF_005"/>
      <w:r>
        <w:rPr>
          <w:rFonts w:ascii="Calibri" w:hAnsi="Calibri"/>
          <w:b/>
          <w:color w:val="1F4E79"/>
          <w:sz w:val="20"/>
        </w:rPr>
        <w:t xml:space="preserve">WF-005  </w:t>
      </w:r>
      <w:r>
        <w:rPr>
          <w:rFonts w:ascii="Calibri" w:hAnsi="Calibri"/>
          <w:b/>
          <w:sz w:val="20"/>
        </w:rPr>
        <w:t>What a team could not build from this set</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3" w:name="WF_006"/>
      <w:r>
        <w:rPr>
          <w:rFonts w:ascii="Calibri" w:hAnsi="Calibri"/>
          <w:b/>
          <w:color w:val="1F4E79"/>
          <w:sz w:val="20"/>
        </w:rPr>
        <w:t xml:space="preserve">WF-006  </w:t>
      </w:r>
      <w:r>
        <w:rPr>
          <w:rFonts w:ascii="Calibri" w:hAnsi="Calibri"/>
          <w:b/>
          <w:sz w:val="20"/>
        </w:rPr>
        <w:t>What the approver is asked to approve</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4" w:name="WF_007"/>
      <w:r>
        <w:rPr>
          <w:rFonts w:ascii="Calibri" w:hAnsi="Calibri"/>
          <w:b/>
          <w:color w:val="1F4E79"/>
          <w:sz w:val="20"/>
        </w:rPr>
        <w:t xml:space="preserve">WF-007  </w:t>
      </w:r>
      <w:r>
        <w:rPr>
          <w:rFonts w:ascii="Calibri" w:hAnsi="Calibri"/>
          <w:b/>
          <w:sz w:val="20"/>
        </w:rPr>
        <w:t>Before any set exists</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5" w:name="WF_008"/>
      <w:r>
        <w:rPr>
          <w:rFonts w:ascii="Calibri" w:hAnsi="Calibri"/>
          <w:b/>
          <w:color w:val="1F4E79"/>
          <w:sz w:val="20"/>
        </w:rPr>
        <w:t xml:space="preserve">WF-008  </w:t>
      </w:r>
      <w:r>
        <w:rPr>
          <w:rFonts w:ascii="Calibri" w:hAnsi="Calibri"/>
          <w:b/>
          <w:sz w:val="20"/>
        </w:rPr>
        <w:t>A section re-graded after one answer</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6" w:name="WF_009"/>
      <w:r>
        <w:rPr>
          <w:rFonts w:ascii="Calibri" w:hAnsi="Calibri"/>
          <w:b/>
          <w:color w:val="1F4E79"/>
          <w:sz w:val="20"/>
        </w:rPr>
        <w:t xml:space="preserve">WF-009  </w:t>
      </w:r>
      <w:r>
        <w:rPr>
          <w:rFonts w:ascii="Calibri" w:hAnsi="Calibri"/>
          <w:b/>
          <w:sz w:val="20"/>
        </w:rPr>
        <w:t>A buildability review that finds gaps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7" w:name="WF_010"/>
      <w:r>
        <w:rPr>
          <w:rFonts w:ascii="Calibri" w:hAnsi="Calibri"/>
          <w:b/>
          <w:color w:val="1F4E79"/>
          <w:sz w:val="20"/>
        </w:rPr>
        <w:t xml:space="preserve">WF-010  </w:t>
      </w:r>
      <w:r>
        <w:rPr>
          <w:rFonts w:ascii="Calibri" w:hAnsi="Calibri"/>
          <w:b/>
          <w:sz w:val="20"/>
        </w:rPr>
        <w:t>Resuming a set after a week away</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78" w:name="WF_011"/>
      <w:r>
        <w:rPr>
          <w:rFonts w:ascii="Calibri" w:hAnsi="Calibri"/>
          <w:b/>
          <w:color w:val="1F4E79"/>
          <w:sz w:val="20"/>
        </w:rPr>
        <w:t xml:space="preserve">WF-011  </w:t>
      </w:r>
      <w:r>
        <w:rPr>
          <w:rFonts w:ascii="Calibri" w:hAnsi="Calibri"/>
          <w:b/>
          <w:sz w:val="20"/>
        </w:rPr>
        <w:t>Review comments answered in the next exported copy</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section of the copy that holds the comments</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answer, and what changed because of it</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9" w:name="prd_forge_nonfunctional_requirements"/>
      <w:r>
        <w:t>Non-functional requirements</w:t>
      </w:r>
      <w:bookmarkEnd w:id="79"/>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0" w:name="NFR_001"/>
      <w:r>
        <w:rPr>
          <w:rFonts w:ascii="Calibri" w:hAnsi="Calibri"/>
          <w:b/>
          <w:color w:val="1F4E79"/>
          <w:sz w:val="20"/>
        </w:rPr>
        <w:t>NFR-001</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1"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2" w:name="NFR_003"/>
      <w:r>
        <w:rPr>
          <w:rFonts w:ascii="Calibri" w:hAnsi="Calibri"/>
          <w:b/>
          <w:color w:val="1F4E79"/>
          <w:sz w:val="20"/>
        </w:rPr>
        <w:t xml:space="preserve">NFR-003  </w:t>
      </w:r>
      <w:r>
        <w:rPr>
          <w:rFonts w:ascii="Calibri" w:hAnsi="Calibri"/>
          <w:b/>
          <w:sz w:val="20"/>
        </w:rPr>
        <w:t>A set stays workable at the size real products reach.</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4" w:name="NFR_005"/>
      <w:r>
        <w:rPr>
          <w:rFonts w:ascii="Calibri" w:hAnsi="Calibri"/>
          <w:b/>
          <w:color w:val="1F4E79"/>
          <w:sz w:val="20"/>
        </w:rPr>
        <w:t>NFR-005</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6"/>
      <w:r>
        <w:rPr>
          <w:rFonts w:ascii="Calibri" w:hAnsi="Calibri"/>
          <w:b/>
          <w:color w:val="1F4E79"/>
          <w:sz w:val="20"/>
        </w:rPr>
        <w:t>NFR-006</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7" w:name="NFR_008"/>
      <w:r>
        <w:rPr>
          <w:rFonts w:ascii="Calibri" w:hAnsi="Calibri"/>
          <w:b/>
          <w:color w:val="1F4E79"/>
          <w:sz w:val="20"/>
        </w:rPr>
        <w:t>NFR-008</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9" w:name="NFR_010"/>
      <w:r>
        <w:rPr>
          <w:rFonts w:ascii="Calibri" w:hAnsi="Calibri"/>
          <w:b/>
          <w:color w:val="1F4E79"/>
          <w:sz w:val="20"/>
        </w:rPr>
        <w:t>NFR-010</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0" w:name="NFR_011"/>
      <w:r>
        <w:rPr>
          <w:rFonts w:ascii="Calibri" w:hAnsi="Calibri"/>
          <w:b/>
          <w:color w:val="1F4E79"/>
          <w:sz w:val="20"/>
        </w:rPr>
        <w:t>NFR-011</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1" w:name="NFR_012"/>
      <w:r>
        <w:rPr>
          <w:rFonts w:ascii="Calibri" w:hAnsi="Calibri"/>
          <w:b/>
          <w:color w:val="1F4E79"/>
          <w:sz w:val="20"/>
        </w:rPr>
        <w:t>NFR-012</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2" w:name="prd_forge_constraints"/>
      <w:r>
        <w:t>Constraints</w:t>
      </w:r>
      <w:bookmarkEnd w:id="92"/>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3" w:name="prd_forge_decision_rights"/>
      <w:r>
        <w:t>Decision rights and trust rules</w:t>
      </w:r>
      <w:bookmarkEnd w:id="93"/>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4" w:name="TR_001"/>
      <w:r>
        <w:rPr>
          <w:rFonts w:ascii="Calibri" w:hAnsi="Calibri"/>
          <w:b/>
          <w:color w:val="1F4E79"/>
          <w:sz w:val="20"/>
        </w:rPr>
        <w:t xml:space="preserve">TR-001  </w:t>
      </w:r>
      <w:r>
        <w:rPr>
          <w:rFonts w:ascii="Calibri" w:hAnsi="Calibri"/>
          <w:b/>
          <w:sz w:val="20"/>
        </w:rPr>
        <w:t>Approve a PRD for a release</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5" w:name="TR_002"/>
      <w:r>
        <w:rPr>
          <w:rFonts w:ascii="Calibri" w:hAnsi="Calibri"/>
          <w:b/>
          <w:color w:val="1F4E79"/>
          <w:sz w:val="20"/>
        </w:rPr>
        <w:t xml:space="preserve">TR-002  </w:t>
      </w:r>
      <w:r>
        <w:rPr>
          <w:rFonts w:ascii="Calibri" w:hAnsi="Calibri"/>
          <w:b/>
          <w:sz w:val="20"/>
        </w:rPr>
        <w:t>Set a section's state to final</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6" w:name="TR_003"/>
      <w:r>
        <w:rPr>
          <w:rFonts w:ascii="Calibri" w:hAnsi="Calibri"/>
          <w:b/>
          <w:color w:val="1F4E79"/>
          <w:sz w:val="20"/>
        </w:rPr>
        <w:t xml:space="preserve">TR-003  </w:t>
      </w:r>
      <w:r>
        <w:rPr>
          <w:rFonts w:ascii="Calibri" w:hAnsi="Calibri"/>
          <w:b/>
          <w:sz w:val="20"/>
        </w:rPr>
        <w:t>Produce a section's score and findings against its rubric</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7" w:name="TR_004"/>
      <w:r>
        <w:rPr>
          <w:rFonts w:ascii="Calibri" w:hAnsi="Calibri"/>
          <w:b/>
          <w:color w:val="1F4E79"/>
          <w:sz w:val="20"/>
        </w:rPr>
        <w:t xml:space="preserve">TR-004  </w:t>
      </w:r>
      <w:r>
        <w:rPr>
          <w:rFonts w:ascii="Calibri" w:hAnsi="Calibri"/>
          <w:b/>
          <w:sz w:val="20"/>
        </w:rPr>
        <w:t>Decide what the product is for and what is out of scope</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8" w:name="TR_005"/>
      <w:r>
        <w:rPr>
          <w:rFonts w:ascii="Calibri" w:hAnsi="Calibri"/>
          <w:b/>
          <w:color w:val="1F4E79"/>
          <w:sz w:val="20"/>
        </w:rPr>
        <w:t xml:space="preserve">TR-005  </w:t>
      </w:r>
      <w:r>
        <w:rPr>
          <w:rFonts w:ascii="Calibri" w:hAnsi="Calibri"/>
          <w:b/>
          <w:sz w:val="20"/>
        </w:rPr>
        <w:t>State a domain fact, figure, regulation or citation as true</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9" w:name="TR_006"/>
      <w:r>
        <w:rPr>
          <w:rFonts w:ascii="Calibri" w:hAnsi="Calibri"/>
          <w:b/>
          <w:color w:val="1F4E79"/>
          <w:sz w:val="20"/>
        </w:rPr>
        <w:t xml:space="preserve">TR-006  </w:t>
      </w:r>
      <w:r>
        <w:rPr>
          <w:rFonts w:ascii="Calibri" w:hAnsi="Calibri"/>
          <w:b/>
          <w:sz w:val="20"/>
        </w:rPr>
        <w:t>Judge whether a set can be built from, and report the gaps</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0" w:name="TR_007"/>
      <w:r>
        <w:rPr>
          <w:rFonts w:ascii="Calibri" w:hAnsi="Calibri"/>
          <w:b/>
          <w:color w:val="1F4E79"/>
          <w:sz w:val="20"/>
        </w:rPr>
        <w:t xml:space="preserve">TR-007  </w:t>
      </w:r>
      <w:r>
        <w:rPr>
          <w:rFonts w:ascii="Calibri" w:hAnsi="Calibri"/>
          <w:b/>
          <w:sz w:val="20"/>
        </w:rPr>
        <w:t>Decide the domain's own terms, and what each one means</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1" w:name="TR_008"/>
      <w:r>
        <w:rPr>
          <w:rFonts w:ascii="Calibri" w:hAnsi="Calibri"/>
          <w:b/>
          <w:color w:val="1F4E79"/>
          <w:sz w:val="20"/>
        </w:rPr>
        <w:t xml:space="preserve">TR-008  </w:t>
      </w:r>
      <w:r>
        <w:rPr>
          <w:rFonts w:ascii="Calibri" w:hAnsi="Calibri"/>
          <w:b/>
          <w:sz w:val="20"/>
        </w:rPr>
        <w:t>Decide the interview on a section is finished</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2" w:name="TR_009"/>
      <w:r>
        <w:rPr>
          <w:rFonts w:ascii="Calibri" w:hAnsi="Calibri"/>
          <w:b/>
          <w:color w:val="1F4E79"/>
          <w:sz w:val="20"/>
        </w:rPr>
        <w:t xml:space="preserve">TR-009  </w:t>
      </w:r>
      <w:r>
        <w:rPr>
          <w:rFonts w:ascii="Calibri" w:hAnsi="Calibri"/>
          <w:b/>
          <w:sz w:val="20"/>
        </w:rPr>
        <w:t>Decide a section may be left at draft and moved on from</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3" w:name="TR_010"/>
      <w:r>
        <w:rPr>
          <w:rFonts w:ascii="Calibri" w:hAnsi="Calibri"/>
          <w:b/>
          <w:color w:val="1F4E79"/>
          <w:sz w:val="20"/>
        </w:rPr>
        <w:t xml:space="preserve">TR-010  </w:t>
      </w:r>
      <w:r>
        <w:rPr>
          <w:rFonts w:ascii="Calibri" w:hAnsi="Calibri"/>
          <w:b/>
          <w:sz w:val="20"/>
        </w:rPr>
        <w:t>Decide the set may be offered for approval</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4" w:name="TR_011"/>
      <w:r>
        <w:rPr>
          <w:rFonts w:ascii="Calibri" w:hAnsi="Calibri"/>
          <w:b/>
          <w:color w:val="1F4E79"/>
          <w:sz w:val="20"/>
        </w:rPr>
        <w:t xml:space="preserve">TR-011  </w:t>
      </w:r>
      <w:r>
        <w:rPr>
          <w:rFonts w:ascii="Calibri" w:hAnsi="Calibri"/>
          <w:b/>
          <w:sz w:val="20"/>
        </w:rPr>
        <w:t>Decide a backlog can be mapped from the set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5" w:name="TR_012"/>
      <w:r>
        <w:rPr>
          <w:rFonts w:ascii="Calibri" w:hAnsi="Calibri"/>
          <w:b/>
          <w:color w:val="1F4E79"/>
          <w:sz w:val="20"/>
        </w:rPr>
        <w:t xml:space="preserve">TR-012  </w:t>
      </w:r>
      <w:r>
        <w:rPr>
          <w:rFonts w:ascii="Calibri" w:hAnsi="Calibri"/>
          <w:b/>
          <w:sz w:val="20"/>
        </w:rPr>
        <w:t>Decide which epics come first</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6"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7" w:name="TR_014"/>
      <w:r>
        <w:rPr>
          <w:rFonts w:ascii="Calibri" w:hAnsi="Calibri"/>
          <w:b/>
          <w:color w:val="1F4E79"/>
          <w:sz w:val="20"/>
        </w:rPr>
        <w:t xml:space="preserve">TR-014  </w:t>
      </w:r>
      <w:r>
        <w:rPr>
          <w:rFonts w:ascii="Calibri" w:hAnsi="Calibri"/>
          <w:b/>
          <w:sz w:val="20"/>
        </w:rPr>
        <w:t>Accept or refute a section's score</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8" w:name="prd_forge_assumptions_risks_dependencies"/>
      <w:r>
        <w:t>Assumptions, risks and dependencies</w:t>
      </w:r>
      <w:bookmarkEnd w:id="108"/>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9" w:name="A_001"/>
      <w:r>
        <w:rPr>
          <w:rFonts w:ascii="Calibri" w:hAnsi="Calibri"/>
          <w:b/>
          <w:color w:val="1F4E79"/>
          <w:sz w:val="20"/>
        </w:rPr>
        <w:t>A-001</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1" w:name="A_003"/>
      <w:r>
        <w:rPr>
          <w:rFonts w:ascii="Calibri" w:hAnsi="Calibri"/>
          <w:b/>
          <w:color w:val="1F4E79"/>
          <w:sz w:val="20"/>
        </w:rPr>
        <w:t>A-003</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3" w:name="A_005"/>
      <w:r>
        <w:rPr>
          <w:rFonts w:ascii="Calibri" w:hAnsi="Calibri"/>
          <w:b/>
          <w:color w:val="1F4E79"/>
          <w:sz w:val="20"/>
        </w:rPr>
        <w:t>A-005</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4" w:name="R_001"/>
      <w:r>
        <w:rPr>
          <w:rFonts w:ascii="Calibri" w:hAnsi="Calibri"/>
          <w:b/>
          <w:color w:val="1F4E79"/>
          <w:sz w:val="20"/>
        </w:rPr>
        <w:t>R-001</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2"/>
      <w:r>
        <w:rPr>
          <w:rFonts w:ascii="Calibri" w:hAnsi="Calibri"/>
          <w:b/>
          <w:color w:val="1F4E79"/>
          <w:sz w:val="20"/>
        </w:rPr>
        <w:t>R-002</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3"/>
      <w:r>
        <w:rPr>
          <w:rFonts w:ascii="Calibri" w:hAnsi="Calibri"/>
          <w:b/>
          <w:color w:val="1F4E79"/>
          <w:sz w:val="20"/>
        </w:rPr>
        <w:t>R-003</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4"/>
      <w:r>
        <w:rPr>
          <w:rFonts w:ascii="Calibri" w:hAnsi="Calibri"/>
          <w:b/>
          <w:color w:val="1F4E79"/>
          <w:sz w:val="20"/>
        </w:rPr>
        <w:t>R-004</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5"/>
      <w:r>
        <w:rPr>
          <w:rFonts w:ascii="Calibri" w:hAnsi="Calibri"/>
          <w:b/>
          <w:color w:val="1F4E79"/>
          <w:sz w:val="20"/>
        </w:rPr>
        <w:t>R-005</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9" w:name="D_001"/>
      <w:r>
        <w:rPr>
          <w:rFonts w:ascii="Calibri" w:hAnsi="Calibri"/>
          <w:b/>
          <w:color w:val="1F4E79"/>
          <w:sz w:val="20"/>
        </w:rPr>
        <w:t>D-001</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0"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1" w:name="D_003"/>
      <w:r>
        <w:rPr>
          <w:rFonts w:ascii="Calibri" w:hAnsi="Calibri"/>
          <w:b/>
          <w:color w:val="1F4E79"/>
          <w:sz w:val="20"/>
        </w:rPr>
        <w:t>D-003</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2" w:name="prd_forge_open_questions"/>
      <w:r>
        <w:t>Open questions</w:t>
      </w:r>
      <w:bookmarkEnd w:id="122"/>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3" w:name="Q_001"/>
      <w:r>
        <w:rPr>
          <w:rFonts w:ascii="Calibri" w:hAnsi="Calibri"/>
          <w:b/>
          <w:color w:val="1F4E79"/>
          <w:sz w:val="20"/>
        </w:rPr>
        <w:t>Q-001</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4" w:name="Q_002"/>
      <w:r>
        <w:rPr>
          <w:rFonts w:ascii="Calibri" w:hAnsi="Calibri"/>
          <w:b/>
          <w:color w:val="1F4E79"/>
          <w:sz w:val="20"/>
        </w:rPr>
        <w:t>Q-002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5" w:name="Q_003"/>
      <w:r>
        <w:rPr>
          <w:rFonts w:ascii="Calibri" w:hAnsi="Calibri"/>
          <w:b/>
          <w:color w:val="1F4E79"/>
          <w:sz w:val="20"/>
        </w:rPr>
        <w:t>Q-003</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6" w:name="Q_004"/>
      <w:r>
        <w:rPr>
          <w:rFonts w:ascii="Calibri" w:hAnsi="Calibri"/>
          <w:b/>
          <w:color w:val="1F4E79"/>
          <w:sz w:val="20"/>
        </w:rPr>
        <w:t xml:space="preserve">Q-004  </w:t>
      </w:r>
      <w:r>
        <w:rPr>
          <w:rFonts w:ascii="Calibri" w:hAnsi="Calibri"/>
          <w:b/>
          <w:sz w:val="20"/>
        </w:rPr>
        <w:t>How many organizations are in each segment in section 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7" w:name="Q_005"/>
      <w:r>
        <w:rPr>
          <w:rFonts w:ascii="Calibri" w:hAnsi="Calibri"/>
          <w:b/>
          <w:color w:val="1F4E79"/>
          <w:sz w:val="20"/>
        </w:rPr>
        <w:t>Q-005</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8"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9" w:name="Q_007"/>
      <w:r>
        <w:rPr>
          <w:rFonts w:ascii="Calibri" w:hAnsi="Calibri"/>
          <w:b/>
          <w:color w:val="1F4E79"/>
          <w:sz w:val="20"/>
        </w:rPr>
        <w:t xml:space="preserve">Q-007  </w:t>
      </w:r>
      <w:r>
        <w:rPr>
          <w:rFonts w:ascii="Calibri" w:hAnsi="Calibri"/>
          <w:b/>
          <w:sz w:val="20"/>
        </w:rPr>
        <w:t>Does writing the requirements send an expert back to the journeys?</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0" w:name="Q_008"/>
      <w:r>
        <w:rPr>
          <w:rFonts w:ascii="Calibri" w:hAnsi="Calibri"/>
          <w:b/>
          <w:color w:val="1F4E79"/>
          <w:sz w:val="20"/>
        </w:rPr>
        <w:t>Q-008</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1" w:name="Q_009"/>
      <w:r>
        <w:rPr>
          <w:rFonts w:ascii="Calibri" w:hAnsi="Calibri"/>
          <w:b/>
          <w:color w:val="1F4E79"/>
          <w:sz w:val="20"/>
        </w:rPr>
        <w:t>Q-009</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2" w:name="Q_010"/>
      <w:r>
        <w:rPr>
          <w:rFonts w:ascii="Calibri" w:hAnsi="Calibri"/>
          <w:b/>
          <w:color w:val="1F4E79"/>
          <w:sz w:val="20"/>
        </w:rPr>
        <w:t>Q-010</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3" w:name="Q_011"/>
      <w:r>
        <w:rPr>
          <w:rFonts w:ascii="Calibri" w:hAnsi="Calibri"/>
          <w:b/>
          <w:color w:val="1F4E79"/>
          <w:sz w:val="20"/>
        </w:rPr>
        <w:t>Q-011</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4" w:name="Q_012"/>
      <w:r>
        <w:rPr>
          <w:rFonts w:ascii="Calibri" w:hAnsi="Calibri"/>
          <w:b/>
          <w:color w:val="1F4E79"/>
          <w:sz w:val="20"/>
        </w:rPr>
        <w:t xml:space="preserve">Q-012  </w:t>
      </w:r>
      <w:r>
        <w:rPr>
          <w:rFonts w:ascii="Calibri" w:hAnsi="Calibri"/>
          <w:b/>
          <w:sz w:val="20"/>
        </w:rPr>
        <w:t>Which segment in section 2 converts first?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5"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6" w:name="Q_014"/>
      <w:r>
        <w:rPr>
          <w:rFonts w:ascii="Calibri" w:hAnsi="Calibri"/>
          <w:b/>
          <w:color w:val="1F4E79"/>
          <w:sz w:val="20"/>
        </w:rPr>
        <w:t>Q-014</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7" w:name="Q_015"/>
      <w:r>
        <w:rPr>
          <w:rFonts w:ascii="Calibri" w:hAnsi="Calibri"/>
          <w:b/>
          <w:color w:val="1F4E79"/>
          <w:sz w:val="20"/>
        </w:rPr>
        <w:t xml:space="preserve">Q-015  </w:t>
      </w:r>
      <w:r>
        <w:rPr>
          <w:rFonts w:ascii="Calibri" w:hAnsi="Calibri"/>
          <w:b/>
          <w:sz w:val="20"/>
        </w:rPr>
        <w:t>Who owns the rubric and the eleven derivability checks?</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8" w:name="Q_016"/>
      <w:r>
        <w:rPr>
          <w:rFonts w:ascii="Calibri" w:hAnsi="Calibri"/>
          <w:b/>
          <w:color w:val="1F4E79"/>
          <w:sz w:val="20"/>
        </w:rPr>
        <w:t xml:space="preserve">Q-016  </w:t>
      </w:r>
      <w:r>
        <w:rPr>
          <w:rFonts w:ascii="Calibri" w:hAnsi="Calibri"/>
          <w:b/>
          <w:sz w:val="20"/>
        </w:rPr>
        <w:t>Must a grade show which version of the rubric it was made against?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9" w:name="Q_017"/>
      <w:r>
        <w:rPr>
          <w:rFonts w:ascii="Calibri" w:hAnsi="Calibri"/>
          <w:b/>
          <w:color w:val="1F4E79"/>
          <w:sz w:val="20"/>
        </w:rPr>
        <w:t>Q-017</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0"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1" w:name="Q_019"/>
      <w:r>
        <w:rPr>
          <w:rFonts w:ascii="Calibri" w:hAnsi="Calibri"/>
          <w:b/>
          <w:color w:val="1F4E79"/>
          <w:sz w:val="20"/>
        </w:rPr>
        <w:t>Q-019</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2" w:name="Q_020"/>
      <w:r>
        <w:rPr>
          <w:rFonts w:ascii="Calibri" w:hAnsi="Calibri"/>
          <w:b/>
          <w:color w:val="1F4E79"/>
          <w:sz w:val="20"/>
        </w:rPr>
        <w:t xml:space="preserve">Q-020  </w:t>
      </w:r>
      <w:r>
        <w:rPr>
          <w:rFonts w:ascii="Calibri" w:hAnsi="Calibri"/>
          <w:b/>
          <w:sz w:val="20"/>
        </w:rPr>
        <w:t>Which section do experts stop at most often?</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3" w:name="Q_021"/>
      <w:r>
        <w:rPr>
          <w:rFonts w:ascii="Calibri" w:hAnsi="Calibri"/>
          <w:b/>
          <w:color w:val="1F4E79"/>
          <w:sz w:val="20"/>
        </w:rPr>
        <w:t>Q-021</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4"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5" w:name="Q_023"/>
      <w:r>
        <w:rPr>
          <w:rFonts w:ascii="Calibri" w:hAnsi="Calibri"/>
          <w:b/>
          <w:color w:val="1F4E79"/>
          <w:sz w:val="20"/>
        </w:rPr>
        <w:t>Q-023</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6" w:name="prd_forge_release_plan"/>
      <w:r>
        <w:t>Release plan</w:t>
      </w:r>
      <w:bookmarkEnd w:id="146"/>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7" w:name="REL_001"/>
      <w:r>
        <w:rPr>
          <w:rFonts w:ascii="Calibri" w:hAnsi="Calibri"/>
          <w:b/>
          <w:color w:val="1F4E79"/>
          <w:sz w:val="20"/>
        </w:rPr>
        <w:t xml:space="preserve">REL-001  </w:t>
      </w:r>
      <w:r>
        <w:rPr>
          <w:rFonts w:ascii="Calibri" w:hAnsi="Calibri"/>
          <w:b/>
          <w:sz w:val="20"/>
        </w:rPr>
        <w:t>Single-expert PRD authoring</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8" w:name="REL_002"/>
      <w:r>
        <w:rPr>
          <w:rFonts w:ascii="Calibri" w:hAnsi="Calibri"/>
          <w:b/>
          <w:color w:val="1F4E79"/>
          <w:sz w:val="20"/>
        </w:rPr>
        <w:t xml:space="preserve">REL-002  </w:t>
      </w:r>
      <w:r>
        <w:rPr>
          <w:rFonts w:ascii="Calibri" w:hAnsi="Calibri"/>
          <w:b/>
          <w:sz w:val="20"/>
        </w:rPr>
        <w:t>Backlog derivation</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9" w:name="REL_003"/>
      <w:r>
        <w:rPr>
          <w:rFonts w:ascii="Calibri" w:hAnsi="Calibri"/>
          <w:b/>
          <w:color w:val="1F4E79"/>
          <w:sz w:val="20"/>
        </w:rPr>
        <w:t xml:space="preserve">REL-003  </w:t>
      </w:r>
      <w:r>
        <w:rPr>
          <w:rFonts w:ascii="Calibri" w:hAnsi="Calibri"/>
          <w:b/>
          <w:sz w:val="20"/>
        </w:rPr>
        <w:t>More than one author</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0" w:name="prd_forge_glossary"/>
      <w:r>
        <w:t>Glossary</w:t>
      </w:r>
      <w:bookmarkEnd w:id="150"/>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reviewer leaves in an exported copy, which the expert brings back into the set and the team answers as accepted, declined, or answered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1" w:name="prd_forge_change_log"/>
      <w:r>
        <w:t>Change log and approvals</w:t>
      </w:r>
      <w:bookmarkEnd w:id="151"/>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 sponsor's comments on an exported copy come back and are answered; WF-011 shows the answered copy; IN-007, REL-001, and the glossary include it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 answered. WF-011 shows that copy. IN-007 and REL-001 include FR-022,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