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recorded as C-001: the product is delivered inside an assistant the expert already uses, and naming that delivery mechanism in a requirement would fail test 5. The platform is therefore a constraint,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The evidence above describes a pattern, not a measurement. No figure here is sourced, and three of the objectives in section 3 have no baseline for the same reason — see Q-001, Q-002 and Q-003. Measure your own intake before relying on any of it.</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Specifications arriving at delivery teams are commonly feature lists; teams report re-deriving the user and the acceptance criteria themselves before they can estimate. Quantify this from your own intake before you rely on it.</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Templates name the sections and not their purpose, so a heading like "non-functional requirements" is filled with adjectives.</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r>
        <w:tc>
          <w:tcPr>
            <w:tcW w:type="dxa" w:w="1129"/>
            <w:tcBorders>
              <w:bottom w:val="single" w:sz="6" w:space="4" w:color="D8DCE3"/>
            </w:tcBorders>
          </w:tcPr>
          <w:p>
            <w:pPr>
              <w:spacing w:after="60"/>
            </w:pPr>
            <w:r/>
            <w:r>
              <w:rPr>
                <w:rFonts w:ascii="Georgia" w:hAnsi="Georgia"/>
                <w:sz w:val="18"/>
              </w:rPr>
              <w:t>S-003</w:t>
            </w:r>
          </w:p>
        </w:tc>
        <w:tc>
          <w:tcPr>
            <w:tcW w:type="dxa" w:w="3725"/>
            <w:tcBorders>
              <w:bottom w:val="single" w:sz="6" w:space="4" w:color="D8DCE3"/>
            </w:tcBorders>
          </w:tcPr>
          <w:p>
            <w:pPr>
              <w:spacing w:after="60"/>
            </w:pPr>
            <w:r/>
            <w:r>
              <w:rPr>
                <w:rFonts w:ascii="Georgia" w:hAnsi="Georgia"/>
                <w:sz w:val="18"/>
              </w:rPr>
              <w:t>Product teams entering an unfamiliar domain</w:t>
            </w:r>
          </w:p>
        </w:tc>
        <w:tc>
          <w:tcPr>
            <w:tcW w:type="dxa" w:w="2167"/>
            <w:tcBorders>
              <w:bottom w:val="single" w:sz="6" w:space="4" w:color="D8DCE3"/>
            </w:tcBorders>
          </w:tcPr>
          <w:p>
            <w:pPr>
              <w:spacing w:after="60"/>
            </w:pPr>
            <w:r/>
            <w:r>
              <w:rPr>
                <w:rFonts w:ascii="Georgia" w:hAnsi="Georgia"/>
                <w:sz w:val="18"/>
              </w:rPr>
              <w:t>Head of product</w:t>
            </w:r>
          </w:p>
        </w:tc>
        <w:tc>
          <w:tcPr>
            <w:tcW w:type="dxa" w:w="1648"/>
            <w:tcBorders>
              <w:bottom w:val="single" w:sz="6" w:space="4" w:color="D8DCE3"/>
            </w:tcBorders>
          </w:tcPr>
          <w:p>
            <w:pPr>
              <w:spacing w:after="60"/>
            </w:pPr>
            <w:r/>
            <w:r>
              <w:rPr>
                <w:rFonts w:ascii="Georgia" w:hAnsi="Georgia"/>
                <w:sz w:val="18"/>
              </w:rPr>
              <w:t>Product manager</w:t>
            </w:r>
          </w:p>
        </w:tc>
      </w:tr>
    </w:tbl>
    <w:p>
      <w:pPr>
        <w:spacing w:after="40"/>
      </w:pPr>
    </w:p>
    <w:p>
      <w:r>
        <w:rPr>
          <w:rFonts w:ascii="Georgia" w:hAnsi="Georgia"/>
        </w:rPr>
        <w:t>S-003 is listed last deliberately. That segment already has the product skill and wants domain knowledge, which this product does not supply — it supplies product management to someone who already has the domain. Treat S-003 as a weak fit until Q-004 says otherwise.</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xml:space="preserve"> —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S-003  </w:t>
      </w:r>
      <w:r>
        <w:rPr>
          <w:rFonts w:ascii="Calibri" w:hAnsi="Calibri"/>
          <w:b/>
          <w:sz w:val="20"/>
        </w:rPr>
        <w:t>Product teams entering a domain they do not know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Product manager, interviewing practitioners</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Lowest of the three: they already employ the product skill and want the domain, which this does not supply.</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 heading asks a question the expert cannot answer; this teaches the section first and then asks the questions that produce an answer.</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The difference here is the grading: the expert is told where the document is weak, against a stated rubric, by a reviewer that did not write it.</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It works when the engineer is willing to re-derive the specification and is in the room. It fails on handover, on scale, and on anything the engineer cannot ask about.</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section 9 keeps as a constraint instead.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88/100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422761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422761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ST-007 and ST-008. Release 1 does not have to complete this journey — see section 6 —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w:t>
      </w:r>
    </w:p>
    <w:p>
      <w:pPr>
        <w:jc w:val="center"/>
      </w:pPr>
      <w:r>
        <w:drawing>
          <wp:inline xmlns:a="http://schemas.openxmlformats.org/drawingml/2006/main" xmlns:pic="http://schemas.openxmlformats.org/drawingml/2006/picture">
            <wp:extent cx="5486400" cy="703498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5486400" cy="703498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5486400" cy="5258748"/>
            <wp:docPr id="4" name="Picture 4"/>
            <wp:cNvGraphicFramePr>
              <a:graphicFrameLocks noChangeAspect="1"/>
            </wp:cNvGraphicFramePr>
            <a:graphic>
              <a:graphicData uri="http://schemas.openxmlformats.org/drawingml/2006/picture">
                <pic:pic>
                  <pic:nvPicPr>
                    <pic:cNvPr id="0" name="SC-002.png"/>
                    <pic:cNvPicPr/>
                  </pic:nvPicPr>
                  <pic:blipFill>
                    <a:blip r:embed="rId12"/>
                    <a:stretch>
                      <a:fillRect/>
                    </a:stretch>
                  </pic:blipFill>
                  <pic:spPr>
                    <a:xfrm>
                      <a:off x="0" y="0"/>
                      <a:ext cx="5486400" cy="5258748"/>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5486399" cy="5220477"/>
            <wp:docPr id="5" name="Picture 5"/>
            <wp:cNvGraphicFramePr>
              <a:graphicFrameLocks noChangeAspect="1"/>
            </wp:cNvGraphicFramePr>
            <a:graphic>
              <a:graphicData uri="http://schemas.openxmlformats.org/drawingml/2006/picture">
                <pic:pic>
                  <pic:nvPicPr>
                    <pic:cNvPr id="0" name="SC-003.png"/>
                    <pic:cNvPicPr/>
                  </pic:nvPicPr>
                  <pic:blipFill>
                    <a:blip r:embed="rId13"/>
                    <a:stretch>
                      <a:fillRect/>
                    </a:stretch>
                  </pic:blipFill>
                  <pic:spPr>
                    <a:xfrm>
                      <a:off x="0" y="0"/>
                      <a:ext cx="5486399" cy="5220477"/>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5486400" cy="5656923"/>
            <wp:docPr id="6" name="Picture 6"/>
            <wp:cNvGraphicFramePr>
              <a:graphicFrameLocks noChangeAspect="1"/>
            </wp:cNvGraphicFramePr>
            <a:graphic>
              <a:graphicData uri="http://schemas.openxmlformats.org/drawingml/2006/picture">
                <pic:pic>
                  <pic:nvPicPr>
                    <pic:cNvPr id="0" name="SC-004.png"/>
                    <pic:cNvPicPr/>
                  </pic:nvPicPr>
                  <pic:blipFill>
                    <a:blip r:embed="rId14"/>
                    <a:stretch>
                      <a:fillRect/>
                    </a:stretch>
                  </pic:blipFill>
                  <pic:spPr>
                    <a:xfrm>
                      <a:off x="0" y="0"/>
                      <a:ext cx="5486400" cy="5656923"/>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5486400" cy="5290187"/>
            <wp:docPr id="7" name="Picture 7"/>
            <wp:cNvGraphicFramePr>
              <a:graphicFrameLocks noChangeAspect="1"/>
            </wp:cNvGraphicFramePr>
            <a:graphic>
              <a:graphicData uri="http://schemas.openxmlformats.org/drawingml/2006/picture">
                <pic:pic>
                  <pic:nvPicPr>
                    <pic:cNvPr id="0" name="SC-005.png"/>
                    <pic:cNvPicPr/>
                  </pic:nvPicPr>
                  <pic:blipFill>
                    <a:blip r:embed="rId15"/>
                    <a:stretch>
                      <a:fillRect/>
                    </a:stretch>
                  </pic:blipFill>
                  <pic:spPr>
                    <a:xfrm>
                      <a:off x="0" y="0"/>
                      <a:ext cx="5486400" cy="5290187"/>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5486400" cy="4871033"/>
            <wp:docPr id="8" name="Picture 8"/>
            <wp:cNvGraphicFramePr>
              <a:graphicFrameLocks noChangeAspect="1"/>
            </wp:cNvGraphicFramePr>
            <a:graphic>
              <a:graphicData uri="http://schemas.openxmlformats.org/drawingml/2006/picture">
                <pic:pic>
                  <pic:nvPicPr>
                    <pic:cNvPr id="0" name="SC-006.png"/>
                    <pic:cNvPicPr/>
                  </pic:nvPicPr>
                  <pic:blipFill>
                    <a:blip r:embed="rId16"/>
                    <a:stretch>
                      <a:fillRect/>
                    </a:stretch>
                  </pic:blipFill>
                  <pic:spPr>
                    <a:xfrm>
                      <a:off x="0" y="0"/>
                      <a:ext cx="5486400" cy="4871033"/>
                    </a:xfrm>
                    <a:prstGeom prst="rect"/>
                  </pic:spPr>
                </pic:pic>
              </a:graphicData>
            </a:graphic>
          </wp:inline>
        </w:drawing>
      </w:r>
    </w:p>
    <w:p>
      <w:pPr>
        <w:spacing w:after="200"/>
        <w:jc w:val="center"/>
      </w:pPr>
      <w:r>
        <w:rPr>
          <w:rFonts w:ascii="Georgia" w:hAnsi="Georgia"/>
          <w:color w:val="5C6370"/>
          <w:sz w:val="16"/>
        </w:rPr>
        <w:t>SC-006 scenario</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90"/>
        <w:gridCol w:w="1290"/>
        <w:gridCol w:w="1488"/>
        <w:gridCol w:w="4600"/>
      </w:tblGrid>
      <w:tr>
        <w:tc>
          <w:tcPr>
            <w:tcW w:type="dxa" w:w="1290"/>
            <w:tcBorders>
              <w:bottom w:val="single" w:sz="12" w:space="4" w:color="16181D"/>
            </w:tcBorders>
          </w:tcPr>
          <w:p>
            <w:pPr>
              <w:spacing w:after="60"/>
            </w:pPr>
            <w:r/>
            <w:r>
              <w:rPr>
                <w:rFonts w:ascii="Calibri" w:hAnsi="Calibri"/>
                <w:b/>
                <w:caps/>
                <w:color w:val="5C6370"/>
                <w:sz w:val="15"/>
              </w:rPr>
              <w:t>ID</w:t>
            </w:r>
          </w:p>
        </w:tc>
        <w:tc>
          <w:tcPr>
            <w:tcW w:type="dxa" w:w="1290"/>
            <w:tcBorders>
              <w:bottom w:val="single" w:sz="12" w:space="4" w:color="16181D"/>
            </w:tcBorders>
          </w:tcPr>
          <w:p>
            <w:pPr>
              <w:spacing w:after="60"/>
            </w:pPr>
            <w:r/>
            <w:r>
              <w:rPr>
                <w:rFonts w:ascii="Calibri" w:hAnsi="Calibri"/>
                <w:b/>
                <w:caps/>
                <w:color w:val="5C6370"/>
                <w:sz w:val="15"/>
              </w:rPr>
              <w:t>Stage</w:t>
            </w:r>
          </w:p>
        </w:tc>
        <w:tc>
          <w:tcPr>
            <w:tcW w:type="dxa" w:w="1489"/>
            <w:tcBorders>
              <w:bottom w:val="single" w:sz="12" w:space="4" w:color="16181D"/>
            </w:tcBorders>
          </w:tcPr>
          <w:p>
            <w:pPr>
              <w:spacing w:after="60"/>
            </w:pPr>
            <w:r/>
            <w:r>
              <w:rPr>
                <w:rFonts w:ascii="Calibri" w:hAnsi="Calibri"/>
                <w:b/>
                <w:caps/>
                <w:color w:val="5C6370"/>
                <w:sz w:val="15"/>
              </w:rPr>
              <w:t>Variant</w:t>
            </w:r>
          </w:p>
        </w:tc>
        <w:tc>
          <w:tcPr>
            <w:tcW w:type="dxa" w:w="4600"/>
            <w:tcBorders>
              <w:bottom w:val="single" w:sz="12" w:space="4" w:color="16181D"/>
            </w:tcBorders>
          </w:tcPr>
          <w:p>
            <w:pPr>
              <w:spacing w:after="60"/>
            </w:pPr>
            <w:r/>
            <w:r>
              <w:rPr>
                <w:rFonts w:ascii="Calibri" w:hAnsi="Calibri"/>
                <w:b/>
                <w:caps/>
                <w:color w:val="5C6370"/>
                <w:sz w:val="15"/>
              </w:rPr>
              <w:t>What it covers</w:t>
            </w:r>
          </w:p>
        </w:tc>
      </w:tr>
      <w:tr>
        <w:tc>
          <w:tcPr>
            <w:tcW w:type="dxa" w:w="1290"/>
            <w:tcBorders>
              <w:bottom w:val="single" w:sz="6" w:space="4" w:color="D8DCE3"/>
            </w:tcBorders>
          </w:tcPr>
          <w:p>
            <w:pPr>
              <w:spacing w:after="60"/>
            </w:pPr>
            <w:r/>
            <w:r>
              <w:rPr>
                <w:rFonts w:ascii="Georgia" w:hAnsi="Georgia"/>
                <w:sz w:val="18"/>
              </w:rPr>
              <w:t>SC-001</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happy</w:t>
            </w:r>
          </w:p>
        </w:tc>
        <w:tc>
          <w:tcPr>
            <w:tcW w:type="dxa" w:w="4600"/>
            <w:tcBorders>
              <w:bottom w:val="single" w:sz="6" w:space="4" w:color="D8DCE3"/>
            </w:tcBorders>
          </w:tcPr>
          <w:p>
            <w:pPr>
              <w:spacing w:after="60"/>
            </w:pPr>
            <w:r/>
            <w:r>
              <w:rPr>
                <w:rFonts w:ascii="Georgia" w:hAnsi="Georgia"/>
                <w:sz w:val="18"/>
              </w:rPr>
              <w:t>A section taught, interviewed, drafted, graded, improved</w:t>
            </w:r>
          </w:p>
        </w:tc>
      </w:tr>
      <w:tr>
        <w:tc>
          <w:tcPr>
            <w:tcW w:type="dxa" w:w="1290"/>
            <w:tcBorders>
              <w:bottom w:val="single" w:sz="6" w:space="4" w:color="D8DCE3"/>
            </w:tcBorders>
          </w:tcPr>
          <w:p>
            <w:pPr>
              <w:spacing w:after="60"/>
            </w:pPr>
            <w:r/>
            <w:r>
              <w:rPr>
                <w:rFonts w:ascii="Georgia" w:hAnsi="Georgia"/>
                <w:sz w:val="18"/>
              </w:rPr>
              <w:t>SC-002</w:t>
            </w:r>
          </w:p>
        </w:tc>
        <w:tc>
          <w:tcPr>
            <w:tcW w:type="dxa" w:w="1290"/>
            <w:tcBorders>
              <w:bottom w:val="single" w:sz="6" w:space="4" w:color="D8DCE3"/>
            </w:tcBorders>
          </w:tcPr>
          <w:p>
            <w:pPr>
              <w:spacing w:after="60"/>
            </w:pPr>
            <w:r/>
            <w:r>
              <w:rPr>
                <w:rFonts w:ascii="Georgia" w:hAnsi="Georgia"/>
                <w:sz w:val="18"/>
              </w:rPr>
              <w:t>ST-004</w:t>
            </w:r>
          </w:p>
        </w:tc>
        <w:tc>
          <w:tcPr>
            <w:tcW w:type="dxa" w:w="1489"/>
            <w:tcBorders>
              <w:bottom w:val="single" w:sz="6" w:space="4" w:color="D8DCE3"/>
            </w:tcBorders>
          </w:tcPr>
          <w:p>
            <w:pPr>
              <w:spacing w:after="60"/>
            </w:pPr>
            <w:r/>
            <w:r>
              <w:rPr>
                <w:rFonts w:ascii="Georgia" w:hAnsi="Georgia"/>
                <w:sz w:val="18"/>
              </w:rPr>
              <w:t>alternate</w:t>
            </w:r>
          </w:p>
        </w:tc>
        <w:tc>
          <w:tcPr>
            <w:tcW w:type="dxa" w:w="4600"/>
            <w:tcBorders>
              <w:bottom w:val="single" w:sz="6" w:space="4" w:color="D8DCE3"/>
            </w:tcBorders>
          </w:tcPr>
          <w:p>
            <w:pPr>
              <w:spacing w:after="60"/>
            </w:pPr>
            <w:r/>
            <w:r>
              <w:rPr>
                <w:rFonts w:ascii="Georgia" w:hAnsi="Georgia"/>
                <w:sz w:val="18"/>
              </w:rPr>
              <w:t>Resuming after eight days away</w:t>
            </w:r>
          </w:p>
        </w:tc>
      </w:tr>
      <w:tr>
        <w:tc>
          <w:tcPr>
            <w:tcW w:type="dxa" w:w="1290"/>
            <w:tcBorders>
              <w:bottom w:val="single" w:sz="6" w:space="4" w:color="D8DCE3"/>
            </w:tcBorders>
          </w:tcPr>
          <w:p>
            <w:pPr>
              <w:spacing w:after="60"/>
            </w:pPr>
            <w:r/>
            <w:r>
              <w:rPr>
                <w:rFonts w:ascii="Georgia" w:hAnsi="Georgia"/>
                <w:sz w:val="18"/>
              </w:rPr>
              <w:t>SC-003</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states a technology</w:t>
            </w:r>
          </w:p>
        </w:tc>
      </w:tr>
      <w:tr>
        <w:tc>
          <w:tcPr>
            <w:tcW w:type="dxa" w:w="1290"/>
            <w:tcBorders>
              <w:bottom w:val="single" w:sz="6" w:space="4" w:color="D8DCE3"/>
            </w:tcBorders>
          </w:tcPr>
          <w:p>
            <w:pPr>
              <w:spacing w:after="60"/>
            </w:pPr>
            <w:r/>
            <w:r>
              <w:rPr>
                <w:rFonts w:ascii="Georgia" w:hAnsi="Georgia"/>
                <w:sz w:val="18"/>
              </w:rPr>
              <w:t>SC-004</w:t>
            </w:r>
          </w:p>
        </w:tc>
        <w:tc>
          <w:tcPr>
            <w:tcW w:type="dxa" w:w="1290"/>
            <w:tcBorders>
              <w:bottom w:val="single" w:sz="6" w:space="4" w:color="D8DCE3"/>
            </w:tcBorders>
          </w:tcPr>
          <w:p>
            <w:pPr>
              <w:spacing w:after="60"/>
            </w:pPr>
            <w:r/>
            <w:r>
              <w:rPr>
                <w:rFonts w:ascii="Georgia" w:hAnsi="Georgia"/>
                <w:sz w:val="18"/>
              </w:rPr>
              <w:t>ST-003</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refutes a grading finding</w:t>
            </w:r>
          </w:p>
        </w:tc>
      </w:tr>
      <w:tr>
        <w:tc>
          <w:tcPr>
            <w:tcW w:type="dxa" w:w="1290"/>
            <w:tcBorders>
              <w:bottom w:val="single" w:sz="6" w:space="4" w:color="D8DCE3"/>
            </w:tcBorders>
          </w:tcPr>
          <w:p>
            <w:pPr>
              <w:spacing w:after="60"/>
            </w:pPr>
            <w:r/>
            <w:r>
              <w:rPr>
                <w:rFonts w:ascii="Georgia" w:hAnsi="Georgia"/>
                <w:sz w:val="18"/>
              </w:rPr>
              <w:t>SC-005</w:t>
            </w:r>
          </w:p>
        </w:tc>
        <w:tc>
          <w:tcPr>
            <w:tcW w:type="dxa" w:w="1290"/>
            <w:tcBorders>
              <w:bottom w:val="single" w:sz="6" w:space="4" w:color="D8DCE3"/>
            </w:tcBorders>
          </w:tcPr>
          <w:p>
            <w:pPr>
              <w:spacing w:after="60"/>
            </w:pPr>
            <w:r/>
            <w:r>
              <w:rPr>
                <w:rFonts w:ascii="Georgia" w:hAnsi="Georgia"/>
                <w:sz w:val="18"/>
              </w:rPr>
              <w:t>ST-005</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Buildability review finds holes</w:t>
            </w:r>
          </w:p>
        </w:tc>
      </w:tr>
      <w:tr>
        <w:tc>
          <w:tcPr>
            <w:tcW w:type="dxa" w:w="1290"/>
            <w:tcBorders>
              <w:bottom w:val="single" w:sz="6" w:space="4" w:color="D8DCE3"/>
            </w:tcBorders>
          </w:tcPr>
          <w:p>
            <w:pPr>
              <w:spacing w:after="60"/>
            </w:pPr>
            <w:r/>
            <w:r>
              <w:rPr>
                <w:rFonts w:ascii="Georgia" w:hAnsi="Georgia"/>
                <w:sz w:val="18"/>
              </w:rPr>
              <w:t>SC-006</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has no baseline for a metric</w:t>
            </w:r>
          </w:p>
        </w:tc>
      </w:tr>
    </w:tbl>
    <w:p>
      <w:pPr>
        <w:spacing w:after="40"/>
      </w:pPr>
    </w:p>
    <w:p>
      <w:r>
        <w:rPr>
          <w:rFonts w:ascii="Georgia" w:hAnsi="Georgia"/>
        </w:rPr>
        <w:t>SC-001 is the end-to-end acceptance test for release 1. SC-005 is the expert's own run of the buildability review, which is why its persona is PER-001 and not the engineering lead: no engineering lead is in release 1 at all, per OUT-004.</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requirement names no technology, the user need is recorded, the expert's preference is preserved for the architecture discussion, and the expert does not feel overruled.</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expert knows exactly what a builder cannot build before anyone has estimated,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the documents and a stepper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There are no </w:t>
      </w:r>
      <w:r>
        <w:rPr>
          <w:rFonts w:ascii="Consolas" w:hAnsi="Consolas"/>
          <w:sz w:val="19"/>
        </w:rPr>
        <w:t>should</w:t>
      </w:r>
      <w:r>
        <w:rPr>
          <w:rFonts w:ascii="Georgia" w:hAnsi="Georgia"/>
        </w:rPr>
        <w:t xml:space="preserve"> or </w:t>
      </w:r>
      <w:r>
        <w:rPr>
          <w:rFonts w:ascii="Consolas" w:hAnsi="Consolas"/>
          <w:sz w:val="19"/>
        </w:rPr>
        <w:t>could</w:t>
      </w:r>
      <w:r>
        <w:rPr>
          <w:rFonts w:ascii="Georgia" w:hAnsi="Georgia"/>
        </w:rPr>
        <w:t xml:space="preserve"> requirements in R1: the release line is already the smallest path, and anything that could be dropped has been dropped into section 6.</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"written English"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9 as constraints,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untouched, when the expert asks where things stand, then they see all seventeen section documents with each one's state, and the untouched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whether it says what they meant, without reading a structured record they have no way to assess.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what they are shown reads as written English, in sentences and short tables, and they are not asked to read the section's machine-readable form to judge it.</w:t>
            </w:r>
          </w:p>
          <w:p>
            <w:pPr>
              <w:spacing w:after="40"/>
              <w:ind w:left="173"/>
            </w:pPr>
            <w:r>
              <w:rPr>
                <w:rFonts w:ascii="Georgia" w:hAnsi="Georgia"/>
                <w:sz w:val="19"/>
              </w:rPr>
              <w:t>• Given a section whose readable form and machine-readable form disagree, when either is read, then the disagreement is reported to the expert rather than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dependency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through three views, a section, its grade, and its rubric, when they ask to go back three times, then they see the grade, then the section, then the view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they read is never older than the last change written to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that section shows its new text and its new state.</w:t>
            </w:r>
          </w:p>
          <w:p>
            <w:pPr>
              <w:spacing w:after="40"/>
              <w:ind w:left="173"/>
            </w:pPr>
            <w:r>
              <w:rPr>
                <w:rFonts w:ascii="Georgia" w:hAnsi="Georgia"/>
                <w:sz w:val="19"/>
              </w:rPr>
              <w:t>• Given a section that is graded again while the set is open, when the new grade is written, then the new grade is shown without them asking.</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9" name="Picture 9"/>
            <wp:cNvGraphicFramePr>
              <a:graphicFrameLocks noChangeAspect="1"/>
            </wp:cNvGraphicFramePr>
            <a:graphic>
              <a:graphicData uri="http://schemas.openxmlformats.org/drawingml/2006/picture">
                <pic:pic>
                  <pic:nvPicPr>
                    <pic:cNvPr id="0" name="WF-001.png"/>
                    <pic:cNvPicPr/>
                  </pic:nvPicPr>
                  <pic:blipFill>
                    <a:blip r:embed="rId17"/>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10" name="Picture 10"/>
            <wp:cNvGraphicFramePr>
              <a:graphicFrameLocks noChangeAspect="1"/>
            </wp:cNvGraphicFramePr>
            <a:graphic>
              <a:graphicData uri="http://schemas.openxmlformats.org/drawingml/2006/picture">
                <pic:pic>
                  <pic:nvPicPr>
                    <pic:cNvPr id="0" name="WF-002.png"/>
                    <pic:cNvPicPr/>
                  </pic:nvPicPr>
                  <pic:blipFill>
                    <a:blip r:embed="rId1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11" name="Picture 11"/>
            <wp:cNvGraphicFramePr>
              <a:graphicFrameLocks noChangeAspect="1"/>
            </wp:cNvGraphicFramePr>
            <a:graphic>
              <a:graphicData uri="http://schemas.openxmlformats.org/drawingml/2006/picture">
                <pic:pic>
                  <pic:nvPicPr>
                    <pic:cNvPr id="0" name="WF-003.png"/>
                    <pic:cNvPicPr/>
                  </pic:nvPicPr>
                  <pic:blipFill>
                    <a:blip r:embed="rId19"/>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12" name="Picture 12"/>
            <wp:cNvGraphicFramePr>
              <a:graphicFrameLocks noChangeAspect="1"/>
            </wp:cNvGraphicFramePr>
            <a:graphic>
              <a:graphicData uri="http://schemas.openxmlformats.org/drawingml/2006/picture">
                <pic:pic>
                  <pic:nvPicPr>
                    <pic:cNvPr id="0" name="WF-004.png"/>
                    <pic:cNvPicPr/>
                  </pic:nvPicPr>
                  <pic:blipFill>
                    <a:blip r:embed="rId20"/>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13" name="Picture 13"/>
            <wp:cNvGraphicFramePr>
              <a:graphicFrameLocks noChangeAspect="1"/>
            </wp:cNvGraphicFramePr>
            <a:graphic>
              <a:graphicData uri="http://schemas.openxmlformats.org/drawingml/2006/picture">
                <pic:pic>
                  <pic:nvPicPr>
                    <pic:cNvPr id="0" name="WF-005.png"/>
                    <pic:cNvPicPr/>
                  </pic:nvPicPr>
                  <pic:blipFill>
                    <a:blip r:embed="rId21"/>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14" name="Picture 14"/>
            <wp:cNvGraphicFramePr>
              <a:graphicFrameLocks noChangeAspect="1"/>
            </wp:cNvGraphicFramePr>
            <a:graphic>
              <a:graphicData uri="http://schemas.openxmlformats.org/drawingml/2006/picture">
                <pic:pic>
                  <pic:nvPicPr>
                    <pic:cNvPr id="0" name="WF-006.png"/>
                    <pic:cNvPicPr/>
                  </pic:nvPicPr>
                  <pic:blipFill>
                    <a:blip r:embed="rId22"/>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15" name="Picture 15"/>
            <wp:cNvGraphicFramePr>
              <a:graphicFrameLocks noChangeAspect="1"/>
            </wp:cNvGraphicFramePr>
            <a:graphic>
              <a:graphicData uri="http://schemas.openxmlformats.org/drawingml/2006/picture">
                <pic:pic>
                  <pic:nvPicPr>
                    <pic:cNvPr id="0" name="WF-007.png"/>
                    <pic:cNvPicPr/>
                  </pic:nvPicPr>
                  <pic:blipFill>
                    <a:blip r:embed="rId23"/>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16" name="Picture 16"/>
            <wp:cNvGraphicFramePr>
              <a:graphicFrameLocks noChangeAspect="1"/>
            </wp:cNvGraphicFramePr>
            <a:graphic>
              <a:graphicData uri="http://schemas.openxmlformats.org/drawingml/2006/picture">
                <pic:pic>
                  <pic:nvPicPr>
                    <pic:cNvPr id="0" name="WF-008.png"/>
                    <pic:cNvPicPr/>
                  </pic:nvPicPr>
                  <pic:blipFill>
                    <a:blip r:embed="rId24"/>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17" name="Picture 17"/>
            <wp:cNvGraphicFramePr>
              <a:graphicFrameLocks noChangeAspect="1"/>
            </wp:cNvGraphicFramePr>
            <a:graphic>
              <a:graphicData uri="http://schemas.openxmlformats.org/drawingml/2006/picture">
                <pic:pic>
                  <pic:nvPicPr>
                    <pic:cNvPr id="0" name="WF-009.png"/>
                    <pic:cNvPicPr/>
                  </pic:nvPicPr>
                  <pic:blipFill>
                    <a:blip r:embed="rId25"/>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18" name="Picture 18"/>
            <wp:cNvGraphicFramePr>
              <a:graphicFrameLocks noChangeAspect="1"/>
            </wp:cNvGraphicFramePr>
            <a:graphic>
              <a:graphicData uri="http://schemas.openxmlformats.org/drawingml/2006/picture">
                <pic:pic>
                  <pic:nvPicPr>
                    <pic:cNvPr id="0" name="WF-010.png"/>
                    <pic:cNvPicPr/>
                  </pic:nvPicPr>
                  <pic:blipFill>
                    <a:blip r:embed="rId26"/>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C-001 the product reaches one expert inside a session they are already in, so simultaneous users are the host's load and not ours; NFR-003 therefore reads scale as the size of one set, which is the dimension we do control. If C-001 ever changes, concurrency comes back and this paragraph goes.</w:t>
      </w:r>
    </w:p>
    <w:p>
      <w:r>
        <w:rPr>
          <w:rFonts w:ascii="Georgia" w:hAnsi="Georgia"/>
        </w:rPr>
        <w:t xml:space="preserve">NFR-006 and NFR-012 set targets on things C-001 and C-002 say we do not own —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states a retention rule that no measurable requirement stood behind. NFR-010 is the one that answers C-003's second half: the product retains nothing of its own, so the only retention question is how long the organisation keeps the documents, and the answer must be that we impose no expiry on them.</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C-001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C-003.</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C-002 and C-003.</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33"/>
        <w:gridCol w:w="1277"/>
        <w:gridCol w:w="3585"/>
        <w:gridCol w:w="2672"/>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1278"/>
            <w:tcBorders>
              <w:bottom w:val="single" w:sz="12" w:space="4" w:color="16181D"/>
            </w:tcBorders>
          </w:tcPr>
          <w:p>
            <w:pPr>
              <w:spacing w:after="60"/>
            </w:pPr>
            <w:r/>
            <w:r>
              <w:rPr>
                <w:rFonts w:ascii="Calibri" w:hAnsi="Calibri"/>
                <w:b/>
                <w:caps/>
                <w:color w:val="5C6370"/>
                <w:sz w:val="15"/>
              </w:rPr>
              <w:t>Category</w:t>
            </w:r>
          </w:p>
        </w:tc>
        <w:tc>
          <w:tcPr>
            <w:tcW w:type="dxa" w:w="3586"/>
            <w:tcBorders>
              <w:bottom w:val="single" w:sz="12" w:space="4" w:color="16181D"/>
            </w:tcBorders>
          </w:tcPr>
          <w:p>
            <w:pPr>
              <w:spacing w:after="60"/>
            </w:pPr>
            <w:r/>
            <w:r>
              <w:rPr>
                <w:rFonts w:ascii="Calibri" w:hAnsi="Calibri"/>
                <w:b/>
                <w:caps/>
                <w:color w:val="5C6370"/>
                <w:sz w:val="15"/>
              </w:rPr>
              <w:t>Constraint</w:t>
            </w:r>
          </w:p>
        </w:tc>
        <w:tc>
          <w:tcPr>
            <w:tcW w:type="dxa" w:w="2672"/>
            <w:tcBorders>
              <w:bottom w:val="single" w:sz="12" w:space="4" w:color="16181D"/>
            </w:tcBorders>
          </w:tcPr>
          <w:p>
            <w:pPr>
              <w:spacing w:after="60"/>
            </w:pPr>
            <w:r/>
            <w:r>
              <w:rPr>
                <w:rFonts w:ascii="Calibri" w:hAnsi="Calibri"/>
                <w:b/>
                <w:caps/>
                <w:color w:val="5C6370"/>
                <w:sz w:val="15"/>
              </w:rPr>
              <w:t>Authority</w:t>
            </w:r>
          </w:p>
        </w:tc>
      </w:tr>
      <w:tr>
        <w:tc>
          <w:tcPr>
            <w:tcW w:type="dxa" w:w="1133"/>
            <w:tcBorders>
              <w:bottom w:val="single" w:sz="6" w:space="4" w:color="D8DCE3"/>
            </w:tcBorders>
          </w:tcPr>
          <w:p>
            <w:pPr>
              <w:spacing w:after="60"/>
            </w:pPr>
            <w:r/>
            <w:r>
              <w:rPr>
                <w:rFonts w:ascii="Georgia" w:hAnsi="Georgia"/>
                <w:sz w:val="18"/>
              </w:rPr>
              <w:t>C-001</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Runs inside an assistant session the expert already uses</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C-002</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Output is plain documents; not the system of record</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C-003</w:t>
            </w:r>
          </w:p>
        </w:tc>
        <w:tc>
          <w:tcPr>
            <w:tcW w:type="dxa" w:w="1278"/>
            <w:tcBorders>
              <w:bottom w:val="single" w:sz="6" w:space="4" w:color="D8DCE3"/>
            </w:tcBorders>
          </w:tcPr>
          <w:p>
            <w:pPr>
              <w:spacing w:after="60"/>
            </w:pPr>
            <w:r/>
            <w:r>
              <w:rPr>
                <w:rFonts w:ascii="Georgia" w:hAnsi="Georgia"/>
                <w:sz w:val="18"/>
              </w:rPr>
              <w:t>policy</w:t>
            </w:r>
          </w:p>
        </w:tc>
        <w:tc>
          <w:tcPr>
            <w:tcW w:type="dxa" w:w="3586"/>
            <w:tcBorders>
              <w:bottom w:val="single" w:sz="6" w:space="4" w:color="D8DCE3"/>
            </w:tcBorders>
          </w:tcPr>
          <w:p>
            <w:pPr>
              <w:spacing w:after="60"/>
            </w:pPr>
            <w:r/>
            <w:r>
              <w:rPr>
                <w:rFonts w:ascii="Georgia" w:hAnsi="Georgia"/>
                <w:sz w:val="18"/>
              </w:rPr>
              <w:t>Domain content goes nowhere beyond that session</w:t>
            </w:r>
          </w:p>
        </w:tc>
        <w:tc>
          <w:tcPr>
            <w:tcW w:type="dxa" w:w="2672"/>
            <w:tcBorders>
              <w:bottom w:val="single" w:sz="6" w:space="4" w:color="D8DCE3"/>
            </w:tcBorders>
          </w:tcPr>
          <w:p>
            <w:pPr>
              <w:spacing w:after="60"/>
            </w:pPr>
            <w:r/>
            <w:r>
              <w:rPr>
                <w:rFonts w:ascii="Georgia" w:hAnsi="Georgia"/>
                <w:sz w:val="18"/>
              </w:rPr>
              <w:t>The customer's own information policy</w:t>
            </w:r>
          </w:p>
        </w:tc>
      </w:tr>
      <w:tr>
        <w:tc>
          <w:tcPr>
            <w:tcW w:type="dxa" w:w="1133"/>
            <w:tcBorders>
              <w:bottom w:val="single" w:sz="6" w:space="4" w:color="D8DCE3"/>
            </w:tcBorders>
          </w:tcPr>
          <w:p>
            <w:pPr>
              <w:spacing w:after="60"/>
            </w:pPr>
            <w:r/>
            <w:r>
              <w:rPr>
                <w:rFonts w:ascii="Georgia" w:hAnsi="Georgia"/>
                <w:sz w:val="18"/>
              </w:rPr>
              <w:t>C-004</w:t>
            </w:r>
          </w:p>
        </w:tc>
        <w:tc>
          <w:tcPr>
            <w:tcW w:type="dxa" w:w="1278"/>
            <w:tcBorders>
              <w:bottom w:val="single" w:sz="6" w:space="4" w:color="D8DCE3"/>
            </w:tcBorders>
          </w:tcPr>
          <w:p>
            <w:pPr>
              <w:spacing w:after="60"/>
            </w:pPr>
            <w:r/>
            <w:r>
              <w:rPr>
                <w:rFonts w:ascii="Georgia" w:hAnsi="Georgia"/>
                <w:sz w:val="18"/>
              </w:rPr>
              <w:t>legal</w:t>
            </w:r>
          </w:p>
        </w:tc>
        <w:tc>
          <w:tcPr>
            <w:tcW w:type="dxa" w:w="3586"/>
            <w:tcBorders>
              <w:bottom w:val="single" w:sz="6" w:space="4" w:color="D8DCE3"/>
            </w:tcBorders>
          </w:tcPr>
          <w:p>
            <w:pPr>
              <w:spacing w:after="60"/>
            </w:pPr>
            <w:r/>
            <w:r>
              <w:rPr>
                <w:rFonts w:ascii="Georgia" w:hAnsi="Georgia"/>
                <w:sz w:val="18"/>
              </w:rPr>
              <w:t>No unverified citation stated as fact</w:t>
            </w:r>
          </w:p>
        </w:tc>
        <w:tc>
          <w:tcPr>
            <w:tcW w:type="dxa" w:w="2672"/>
            <w:tcBorders>
              <w:bottom w:val="single" w:sz="6" w:space="4" w:color="D8DCE3"/>
            </w:tcBorders>
          </w:tcPr>
          <w:p>
            <w:pPr>
              <w:spacing w:after="60"/>
            </w:pPr>
            <w:r/>
            <w:r>
              <w:rPr>
                <w:rFonts w:ascii="Georgia" w:hAnsi="Georgia"/>
                <w:sz w:val="18"/>
              </w:rPr>
              <w:t>Professional liability</w:t>
            </w:r>
          </w:p>
        </w:tc>
      </w:tr>
    </w:tbl>
    <w:p>
      <w:pPr>
        <w:spacing w:after="40"/>
      </w:pPr>
    </w:p>
    <w:p>
      <w:pPr>
        <w:pStyle w:val="Heading3"/>
      </w:pPr>
      <w:r>
        <w:t>C-001 is the honest one</w:t>
      </w:r>
    </w:p>
    <w:p>
      <w:r>
        <w:rPr>
          <w:rFonts w:ascii="Georgia" w:hAnsi="Georgia"/>
        </w:rPr>
        <w:t>Three of these four are our own decisions, not rules imposed from outside, and listing a product decision as a constraint is normally wrong. They are here because C-001 in particular is the tension this PRD ran into: the product is delivered inside an assistant, naming that in a requirement fails test 5, and pretending the dependency does not exist would be worse. Recording it as a constraint keeps section 7 clean and keeps the dependency visible.</w:t>
      </w:r>
    </w:p>
    <w:p>
      <w:r>
        <w:rPr>
          <w:rFonts w:ascii="Georgia" w:hAnsi="Georgia"/>
        </w:rPr>
        <w:t>A reviewer is entitled to call C-001 and C-002 architecture rather than constraints. The counter-argument is that both are commitments to the customer about what they will have to adopt and what they will own afterwards, which is scope, not design. Decide for yourself; the argument is recorded either way.</w:t>
      </w:r>
    </w:p>
    <w:p>
      <w:pPr>
        <w:pStyle w:val="Heading3"/>
      </w:pPr>
      <w:r>
        <w:t>C-004 is the one with teeth</w:t>
      </w:r>
    </w:p>
    <w:p>
      <w:r>
        <w:rPr>
          <w:rFonts w:ascii="Georgia" w:hAnsi="Georgia"/>
        </w:rPr>
        <w:t>C-004 is the only constraint here imposed from outside, and it is the reason FR-006 exists. A fluent PRD with an invented clause number is the failure this product must not have, because the expert signs it, circulates it, and carries the consequence personally.</w:t>
      </w:r>
    </w:p>
    <w:p>
      <w:pPr>
        <w:keepNext/>
        <w:spacing w:before="220" w:after="60"/>
        <w:ind w:left="115"/>
        <w:pBdr>
          <w:left w:val="single" w:sz="18" w:space="0" w:color="1F4E79"/>
        </w:pBdr>
      </w:pPr>
      <w:r>
        <w:rPr>
          <w:rFonts w:ascii="Calibri" w:hAnsi="Calibri"/>
          <w:b/>
          <w:color w:val="1F4E79"/>
          <w:sz w:val="20"/>
        </w:rPr>
        <w:t>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product reaches the expert inside an assistant session they are already working in. There is no separate application for them to open, install or log into.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 Not externally imposed; recorded here because every requirement in section 7 depends on it and naming it in a requirement would fail test 5.</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No requirement in section 7 names the delivery mechanism, checked at each grading pass.</w:t>
            </w:r>
          </w:p>
        </w:tc>
      </w:tr>
    </w:tbl>
    <w:p>
      <w:pPr>
        <w:spacing w:after="40"/>
      </w:pPr>
    </w:p>
    <w:p>
      <w:pPr>
        <w:keepNext/>
        <w:spacing w:before="220" w:after="60"/>
        <w:ind w:left="115"/>
        <w:pBdr>
          <w:left w:val="single" w:sz="18" w:space="0" w:color="1F4E79"/>
        </w:pBdr>
      </w:pPr>
      <w:r>
        <w:rPr>
          <w:rFonts w:ascii="Calibri" w:hAnsi="Calibri"/>
          <w:b/>
          <w:color w:val="1F4E79"/>
          <w:sz w:val="20"/>
        </w:rPr>
        <w:t>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output is plain text documents the organisation stores wherever it already stores documents. The product is not the system of record for a PRD.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NFR-004's test - read a complete set with nothing but a text editor.</w:t>
            </w:r>
          </w:p>
        </w:tc>
      </w:tr>
    </w:tbl>
    <w:p>
      <w:pPr>
        <w:spacing w:after="40"/>
      </w:pPr>
    </w:p>
    <w:p>
      <w:pPr>
        <w:keepNext/>
        <w:spacing w:before="220" w:after="60"/>
        <w:ind w:left="115"/>
        <w:pBdr>
          <w:left w:val="single" w:sz="18" w:space="0" w:color="1F4E79"/>
        </w:pBdr>
      </w:pPr>
      <w:r>
        <w:rPr>
          <w:rFonts w:ascii="Calibri" w:hAnsi="Calibri"/>
          <w:b/>
          <w:color w:val="1F4E79"/>
          <w:sz w:val="20"/>
        </w:rPr>
        <w:t>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Content an expert enters about their domain is not sent anywhere beyond the assistant session they are already using, and is not retained by this product outside the documents themselves.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policy</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The expert's own organisation's information policy, whichever it is; this constraint holds for every customer and is not configurable.</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NFR-008's measurement - zero additional destinations.</w:t>
            </w:r>
          </w:p>
        </w:tc>
      </w:tr>
    </w:tbl>
    <w:p>
      <w:pPr>
        <w:spacing w:after="40"/>
      </w:pPr>
    </w:p>
    <w:p>
      <w:pPr>
        <w:keepNext/>
        <w:spacing w:before="220" w:after="60"/>
        <w:ind w:left="115"/>
        <w:pBdr>
          <w:left w:val="single" w:sz="18" w:space="0" w:color="1F4E79"/>
        </w:pBdr>
      </w:pPr>
      <w:r>
        <w:rPr>
          <w:rFonts w:ascii="Calibri" w:hAnsi="Calibri"/>
          <w:b/>
          <w:color w:val="1F4E79"/>
          <w:sz w:val="20"/>
        </w:rPr>
        <w:t>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 regulation, standard, clause or statistic is stated as fact unless the expert supplied it or it has been verified against the source; otherwise it is marked unverified or becomes an open question.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legal</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Professional liability. An expert circulating a PRD that cites a regulation incorrectly is exposed personally and professionally, whatever this product's terms say.</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FR-009</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Every citation in a set checked against its source before any section reaches final, and anything unverifiable reported as unverified.</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86/100 · no blocking defects</w:t>
      </w:r>
    </w:p>
    <w:p>
      <w:pPr>
        <w:jc w:val="center"/>
      </w:pPr>
      <w:r>
        <w:drawing>
          <wp:inline xmlns:a="http://schemas.openxmlformats.org/drawingml/2006/main" xmlns:pic="http://schemas.openxmlformats.org/drawingml/2006/picture">
            <wp:extent cx="5486399" cy="6207189"/>
            <wp:docPr id="19" name="Picture 19"/>
            <wp:cNvGraphicFramePr>
              <a:graphicFrameLocks noChangeAspect="1"/>
            </wp:cNvGraphicFramePr>
            <a:graphic>
              <a:graphicData uri="http://schemas.openxmlformats.org/drawingml/2006/picture">
                <pic:pic>
                  <pic:nvPicPr>
                    <pic:cNvPr id="0" name="decision-rights.png"/>
                    <pic:cNvPicPr/>
                  </pic:nvPicPr>
                  <pic:blipFill>
                    <a:blip r:embed="rId27"/>
                    <a:stretch>
                      <a:fillRect/>
                    </a:stretch>
                  </pic:blipFill>
                  <pic:spPr>
                    <a:xfrm>
                      <a:off x="0" y="0"/>
                      <a:ext cx="5486399" cy="6207189"/>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65"/>
        <w:gridCol w:w="4165"/>
        <w:gridCol w:w="3510"/>
      </w:tblGrid>
      <w:tr>
        <w:tc>
          <w:tcPr>
            <w:tcW w:type="dxa" w:w="1166"/>
            <w:tcBorders>
              <w:bottom w:val="single" w:sz="12" w:space="4" w:color="16181D"/>
            </w:tcBorders>
          </w:tcPr>
          <w:p>
            <w:pPr>
              <w:spacing w:after="60"/>
            </w:pPr>
            <w:r/>
            <w:r>
              <w:rPr>
                <w:rFonts w:ascii="Calibri" w:hAnsi="Calibri"/>
                <w:b/>
                <w:caps/>
                <w:color w:val="5C6370"/>
                <w:sz w:val="15"/>
              </w:rPr>
              <w:t>ID</w:t>
            </w:r>
          </w:p>
        </w:tc>
        <w:tc>
          <w:tcPr>
            <w:tcW w:type="dxa" w:w="4165"/>
            <w:tcBorders>
              <w:bottom w:val="single" w:sz="12" w:space="4" w:color="16181D"/>
            </w:tcBorders>
          </w:tcPr>
          <w:p>
            <w:pPr>
              <w:spacing w:after="60"/>
            </w:pPr>
            <w:r/>
            <w:r>
              <w:rPr>
                <w:rFonts w:ascii="Calibri" w:hAnsi="Calibri"/>
                <w:b/>
                <w:caps/>
                <w:color w:val="5C6370"/>
                <w:sz w:val="15"/>
              </w:rPr>
              <w:t>Assumption</w:t>
            </w:r>
          </w:p>
        </w:tc>
        <w:tc>
          <w:tcPr>
            <w:tcW w:type="dxa" w:w="3511"/>
            <w:tcBorders>
              <w:bottom w:val="single" w:sz="12" w:space="4" w:color="16181D"/>
            </w:tcBorders>
          </w:tcPr>
          <w:p>
            <w:pPr>
              <w:spacing w:after="60"/>
            </w:pPr>
            <w:r/>
            <w:r>
              <w:rPr>
                <w:rFonts w:ascii="Calibri" w:hAnsi="Calibri"/>
                <w:b/>
                <w:caps/>
                <w:color w:val="5C6370"/>
                <w:sz w:val="15"/>
              </w:rPr>
              <w:t>If false</w:t>
            </w:r>
          </w:p>
        </w:tc>
      </w:tr>
      <w:tr>
        <w:tc>
          <w:tcPr>
            <w:tcW w:type="dxa" w:w="1166"/>
            <w:tcBorders>
              <w:bottom w:val="single" w:sz="6" w:space="4" w:color="D8DCE3"/>
            </w:tcBorders>
          </w:tcPr>
          <w:p>
            <w:pPr>
              <w:spacing w:after="60"/>
            </w:pPr>
            <w:r/>
            <w:r>
              <w:rPr>
                <w:rFonts w:ascii="Georgia" w:hAnsi="Georgia"/>
                <w:sz w:val="18"/>
              </w:rPr>
              <w:t>A-001</w:t>
            </w:r>
          </w:p>
        </w:tc>
        <w:tc>
          <w:tcPr>
            <w:tcW w:type="dxa" w:w="4165"/>
            <w:tcBorders>
              <w:bottom w:val="single" w:sz="6" w:space="4" w:color="D8DCE3"/>
            </w:tcBorders>
          </w:tcPr>
          <w:p>
            <w:pPr>
              <w:spacing w:after="60"/>
            </w:pPr>
            <w:r/>
            <w:r>
              <w:rPr>
                <w:rFonts w:ascii="Georgia" w:hAnsi="Georgia"/>
                <w:sz w:val="18"/>
              </w:rPr>
              <w:t>An expert will answer 50-100 questions across a few sittings</w:t>
            </w:r>
          </w:p>
        </w:tc>
        <w:tc>
          <w:tcPr>
            <w:tcW w:type="dxa" w:w="3511"/>
            <w:tcBorders>
              <w:bottom w:val="single" w:sz="6" w:space="4" w:color="D8DCE3"/>
            </w:tcBorders>
          </w:tcPr>
          <w:p>
            <w:pPr>
              <w:spacing w:after="60"/>
            </w:pPr>
            <w:r/>
            <w:r>
              <w:rPr>
                <w:rFonts w:ascii="Georgia" w:hAnsi="Georgia"/>
                <w:sz w:val="18"/>
              </w:rPr>
              <w:t>The method fails; sections 5-7 change completely</w:t>
            </w:r>
          </w:p>
        </w:tc>
      </w:tr>
      <w:tr>
        <w:tc>
          <w:tcPr>
            <w:tcW w:type="dxa" w:w="1166"/>
            <w:tcBorders>
              <w:bottom w:val="single" w:sz="6" w:space="4" w:color="D8DCE3"/>
            </w:tcBorders>
          </w:tcPr>
          <w:p>
            <w:pPr>
              <w:spacing w:after="60"/>
            </w:pPr>
            <w:r/>
            <w:r>
              <w:rPr>
                <w:rFonts w:ascii="Georgia" w:hAnsi="Georgia"/>
                <w:sz w:val="18"/>
              </w:rPr>
              <w:t>A-002</w:t>
            </w:r>
          </w:p>
        </w:tc>
        <w:tc>
          <w:tcPr>
            <w:tcW w:type="dxa" w:w="4165"/>
            <w:tcBorders>
              <w:bottom w:val="single" w:sz="6" w:space="4" w:color="D8DCE3"/>
            </w:tcBorders>
          </w:tcPr>
          <w:p>
            <w:pPr>
              <w:spacing w:after="60"/>
            </w:pPr>
            <w:r/>
            <w:r>
              <w:rPr>
                <w:rFonts w:ascii="Georgia" w:hAnsi="Georgia"/>
                <w:sz w:val="18"/>
              </w:rPr>
              <w:t>An expert will act on a grade they did not produce</w:t>
            </w:r>
          </w:p>
        </w:tc>
        <w:tc>
          <w:tcPr>
            <w:tcW w:type="dxa" w:w="3511"/>
            <w:tcBorders>
              <w:bottom w:val="single" w:sz="6" w:space="4" w:color="D8DCE3"/>
            </w:tcBorders>
          </w:tcPr>
          <w:p>
            <w:pPr>
              <w:spacing w:after="60"/>
            </w:pPr>
            <w:r/>
            <w:r>
              <w:rPr>
                <w:rFonts w:ascii="Georgia" w:hAnsi="Georgia"/>
                <w:sz w:val="18"/>
              </w:rPr>
              <w:t>The grading is decoration</w:t>
            </w:r>
          </w:p>
        </w:tc>
      </w:tr>
      <w:tr>
        <w:tc>
          <w:tcPr>
            <w:tcW w:type="dxa" w:w="1166"/>
            <w:tcBorders>
              <w:bottom w:val="single" w:sz="6" w:space="4" w:color="D8DCE3"/>
            </w:tcBorders>
          </w:tcPr>
          <w:p>
            <w:pPr>
              <w:spacing w:after="60"/>
            </w:pPr>
            <w:r/>
            <w:r>
              <w:rPr>
                <w:rFonts w:ascii="Georgia" w:hAnsi="Georgia"/>
                <w:sz w:val="18"/>
              </w:rPr>
              <w:t>A-003</w:t>
            </w:r>
          </w:p>
        </w:tc>
        <w:tc>
          <w:tcPr>
            <w:tcW w:type="dxa" w:w="4165"/>
            <w:tcBorders>
              <w:bottom w:val="single" w:sz="6" w:space="4" w:color="D8DCE3"/>
            </w:tcBorders>
          </w:tcPr>
          <w:p>
            <w:pPr>
              <w:spacing w:after="60"/>
            </w:pPr>
            <w:r/>
            <w:r>
              <w:rPr>
                <w:rFonts w:ascii="Georgia" w:hAnsi="Georgia"/>
                <w:sz w:val="18"/>
              </w:rPr>
              <w:t>An engineering lead accepts a PRD naming no technology</w:t>
            </w:r>
          </w:p>
        </w:tc>
        <w:tc>
          <w:tcPr>
            <w:tcW w:type="dxa" w:w="3511"/>
            <w:tcBorders>
              <w:bottom w:val="single" w:sz="6" w:space="4" w:color="D8DCE3"/>
            </w:tcBorders>
          </w:tcPr>
          <w:p>
            <w:pPr>
              <w:spacing w:after="60"/>
            </w:pPr>
            <w:r/>
            <w:r>
              <w:rPr>
                <w:rFonts w:ascii="Georgia" w:hAnsi="Georgia"/>
                <w:sz w:val="18"/>
              </w:rPr>
              <w:t>Test 5 becomes a liability</w:t>
            </w:r>
          </w:p>
        </w:tc>
      </w:tr>
      <w:tr>
        <w:tc>
          <w:tcPr>
            <w:tcW w:type="dxa" w:w="1166"/>
            <w:tcBorders>
              <w:bottom w:val="single" w:sz="6" w:space="4" w:color="D8DCE3"/>
            </w:tcBorders>
          </w:tcPr>
          <w:p>
            <w:pPr>
              <w:spacing w:after="60"/>
            </w:pPr>
            <w:r/>
            <w:r>
              <w:rPr>
                <w:rFonts w:ascii="Georgia" w:hAnsi="Georgia"/>
                <w:sz w:val="18"/>
              </w:rPr>
              <w:t>A-004</w:t>
            </w:r>
          </w:p>
        </w:tc>
        <w:tc>
          <w:tcPr>
            <w:tcW w:type="dxa" w:w="4165"/>
            <w:tcBorders>
              <w:bottom w:val="single" w:sz="6" w:space="4" w:color="D8DCE3"/>
            </w:tcBorders>
          </w:tcPr>
          <w:p>
            <w:pPr>
              <w:spacing w:after="60"/>
            </w:pPr>
            <w:r/>
            <w:r>
              <w:rPr>
                <w:rFonts w:ascii="Georgia" w:hAnsi="Georgia"/>
                <w:sz w:val="18"/>
              </w:rPr>
              <w:t>Organisations permit drafting inside an assistant session</w:t>
            </w:r>
          </w:p>
        </w:tc>
        <w:tc>
          <w:tcPr>
            <w:tcW w:type="dxa" w:w="3511"/>
            <w:tcBorders>
              <w:bottom w:val="single" w:sz="6" w:space="4" w:color="D8DCE3"/>
            </w:tcBorders>
          </w:tcPr>
          <w:p>
            <w:pPr>
              <w:spacing w:after="60"/>
            </w:pPr>
            <w:r/>
            <w:r>
              <w:rPr>
                <w:rFonts w:ascii="Georgia" w:hAnsi="Georgia"/>
                <w:sz w:val="18"/>
              </w:rPr>
              <w:t>C-001 and C-003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after R1's target in section 13. That is a real schedule problem: R1 ships before the assumptions it rests on are tested.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C-001 and C-003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6"/>
        <w:gridCol w:w="2739"/>
        <w:gridCol w:w="1662"/>
        <w:gridCol w:w="1200"/>
        <w:gridCol w:w="1846"/>
      </w:tblGrid>
      <w:tr>
        <w:tc>
          <w:tcPr>
            <w:tcW w:type="dxa" w:w="1047"/>
            <w:tcBorders>
              <w:bottom w:val="single" w:sz="12" w:space="4" w:color="16181D"/>
            </w:tcBorders>
          </w:tcPr>
          <w:p>
            <w:pPr>
              <w:spacing w:after="60"/>
            </w:pPr>
            <w:r/>
            <w:r>
              <w:rPr>
                <w:rFonts w:ascii="Calibri" w:hAnsi="Calibri"/>
                <w:b/>
                <w:caps/>
                <w:color w:val="5C6370"/>
                <w:sz w:val="15"/>
              </w:rPr>
              <w:t>ID</w:t>
            </w:r>
          </w:p>
        </w:tc>
        <w:tc>
          <w:tcPr>
            <w:tcW w:type="dxa" w:w="2740"/>
            <w:tcBorders>
              <w:bottom w:val="single" w:sz="12" w:space="4" w:color="16181D"/>
            </w:tcBorders>
          </w:tcPr>
          <w:p>
            <w:pPr>
              <w:spacing w:after="60"/>
            </w:pPr>
            <w:r/>
            <w:r>
              <w:rPr>
                <w:rFonts w:ascii="Calibri" w:hAnsi="Calibri"/>
                <w:b/>
                <w:caps/>
                <w:color w:val="5C6370"/>
                <w:sz w:val="15"/>
              </w:rPr>
              <w:t>Question</w:t>
            </w:r>
          </w:p>
        </w:tc>
        <w:tc>
          <w:tcPr>
            <w:tcW w:type="dxa" w:w="1662"/>
            <w:tcBorders>
              <w:bottom w:val="single" w:sz="12" w:space="4" w:color="16181D"/>
            </w:tcBorders>
          </w:tcPr>
          <w:p>
            <w:pPr>
              <w:spacing w:after="60"/>
            </w:pPr>
            <w:r/>
            <w:r>
              <w:rPr>
                <w:rFonts w:ascii="Calibri" w:hAnsi="Calibri"/>
                <w:b/>
                <w:caps/>
                <w:color w:val="5C6370"/>
                <w:sz w:val="15"/>
              </w:rPr>
              <w:t>Decider</w:t>
            </w:r>
          </w:p>
        </w:tc>
        <w:tc>
          <w:tcPr>
            <w:tcW w:type="dxa" w:w="1201"/>
            <w:tcBorders>
              <w:bottom w:val="single" w:sz="12" w:space="4" w:color="16181D"/>
            </w:tcBorders>
          </w:tcPr>
          <w:p>
            <w:pPr>
              <w:spacing w:after="60"/>
            </w:pPr>
            <w:r/>
            <w:r>
              <w:rPr>
                <w:rFonts w:ascii="Calibri" w:hAnsi="Calibri"/>
                <w:b/>
                <w:caps/>
                <w:color w:val="5C6370"/>
                <w:sz w:val="15"/>
              </w:rPr>
              <w:t>By</w:t>
            </w:r>
          </w:p>
        </w:tc>
        <w:tc>
          <w:tcPr>
            <w:tcW w:type="dxa" w:w="1847"/>
            <w:tcBorders>
              <w:bottom w:val="single" w:sz="12" w:space="4" w:color="16181D"/>
            </w:tcBorders>
          </w:tcPr>
          <w:p>
            <w:pPr>
              <w:spacing w:after="60"/>
            </w:pPr>
            <w:r/>
            <w:r>
              <w:rPr>
                <w:rFonts w:ascii="Calibri" w:hAnsi="Calibri"/>
                <w:b/>
                <w:caps/>
                <w:color w:val="5C6370"/>
                <w:sz w:val="15"/>
              </w:rPr>
              <w:t>Blocks</w:t>
            </w:r>
          </w:p>
        </w:tc>
      </w:tr>
      <w:tr>
        <w:tc>
          <w:tcPr>
            <w:tcW w:type="dxa" w:w="1047"/>
            <w:tcBorders>
              <w:bottom w:val="single" w:sz="6" w:space="4" w:color="D8DCE3"/>
            </w:tcBorders>
          </w:tcPr>
          <w:p>
            <w:pPr>
              <w:spacing w:after="60"/>
            </w:pPr>
            <w:r/>
            <w:r>
              <w:rPr>
                <w:rFonts w:ascii="Georgia" w:hAnsi="Georgia"/>
                <w:sz w:val="18"/>
              </w:rPr>
              <w:t>Q-001</w:t>
            </w:r>
          </w:p>
        </w:tc>
        <w:tc>
          <w:tcPr>
            <w:tcW w:type="dxa" w:w="2740"/>
            <w:tcBorders>
              <w:bottom w:val="single" w:sz="6" w:space="4" w:color="D8DCE3"/>
            </w:tcBorders>
          </w:tcPr>
          <w:p>
            <w:pPr>
              <w:spacing w:after="60"/>
            </w:pPr>
            <w:r/>
            <w:r>
              <w:rPr>
                <w:rFonts w:ascii="Georgia" w:hAnsi="Georgia"/>
                <w:sz w:val="18"/>
              </w:rPr>
              <w:t>Today's first-pass buildability rate</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O-001</w:t>
            </w:r>
          </w:p>
        </w:tc>
      </w:tr>
      <w:tr>
        <w:tc>
          <w:tcPr>
            <w:tcW w:type="dxa" w:w="1047"/>
            <w:tcBorders>
              <w:bottom w:val="single" w:sz="6" w:space="4" w:color="D8DCE3"/>
            </w:tcBorders>
          </w:tcPr>
          <w:p>
            <w:pPr>
              <w:spacing w:after="60"/>
            </w:pPr>
            <w:r/>
            <w:r>
              <w:rPr>
                <w:rFonts w:ascii="Georgia" w:hAnsi="Georgia"/>
                <w:sz w:val="18"/>
              </w:rPr>
              <w:t>Q-002</w:t>
            </w:r>
          </w:p>
        </w:tc>
        <w:tc>
          <w:tcPr>
            <w:tcW w:type="dxa" w:w="2740"/>
            <w:tcBorders>
              <w:bottom w:val="single" w:sz="6" w:space="4" w:color="D8DCE3"/>
            </w:tcBorders>
          </w:tcPr>
          <w:p>
            <w:pPr>
              <w:spacing w:after="60"/>
            </w:pPr>
            <w:r/>
            <w:r>
              <w:rPr>
                <w:rFonts w:ascii="Georgia" w:hAnsi="Georgia"/>
                <w:sz w:val="18"/>
              </w:rPr>
              <w:t>Today's idea-to-approval elapsed time</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O-002</w:t>
            </w:r>
          </w:p>
        </w:tc>
      </w:tr>
      <w:tr>
        <w:tc>
          <w:tcPr>
            <w:tcW w:type="dxa" w:w="1047"/>
            <w:tcBorders>
              <w:bottom w:val="single" w:sz="6" w:space="4" w:color="D8DCE3"/>
            </w:tcBorders>
          </w:tcPr>
          <w:p>
            <w:pPr>
              <w:spacing w:after="60"/>
            </w:pPr>
            <w:r/>
            <w:r>
              <w:rPr>
                <w:rFonts w:ascii="Georgia" w:hAnsi="Georgia"/>
                <w:sz w:val="18"/>
              </w:rPr>
              <w:t>Q-003</w:t>
            </w:r>
          </w:p>
        </w:tc>
        <w:tc>
          <w:tcPr>
            <w:tcW w:type="dxa" w:w="2740"/>
            <w:tcBorders>
              <w:bottom w:val="single" w:sz="6" w:space="4" w:color="D8DCE3"/>
            </w:tcBorders>
          </w:tcPr>
          <w:p>
            <w:pPr>
              <w:spacing w:after="60"/>
            </w:pPr>
            <w:r/>
            <w:r>
              <w:rPr>
                <w:rFonts w:ascii="Georgia" w:hAnsi="Georgia"/>
                <w:sz w:val="18"/>
              </w:rPr>
              <w:t>Today's share of testable requirements</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O-003</w:t>
            </w:r>
          </w:p>
        </w:tc>
      </w:tr>
      <w:tr>
        <w:tc>
          <w:tcPr>
            <w:tcW w:type="dxa" w:w="1047"/>
            <w:tcBorders>
              <w:bottom w:val="single" w:sz="6" w:space="4" w:color="D8DCE3"/>
            </w:tcBorders>
          </w:tcPr>
          <w:p>
            <w:pPr>
              <w:spacing w:after="60"/>
            </w:pPr>
            <w:r/>
            <w:r>
              <w:rPr>
                <w:rFonts w:ascii="Georgia" w:hAnsi="Georgia"/>
                <w:sz w:val="18"/>
              </w:rPr>
              <w:t>Q-004</w:t>
            </w:r>
          </w:p>
        </w:tc>
        <w:tc>
          <w:tcPr>
            <w:tcW w:type="dxa" w:w="2740"/>
            <w:tcBorders>
              <w:bottom w:val="single" w:sz="6" w:space="4" w:color="D8DCE3"/>
            </w:tcBorders>
          </w:tcPr>
          <w:p>
            <w:pPr>
              <w:spacing w:after="60"/>
            </w:pPr>
            <w:r/>
            <w:r>
              <w:rPr>
                <w:rFonts w:ascii="Georgia" w:hAnsi="Georgia"/>
                <w:sz w:val="18"/>
              </w:rPr>
              <w:t>Segment sizes, and which converts</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2027-06-30</w:t>
            </w:r>
          </w:p>
        </w:tc>
        <w:tc>
          <w:tcPr>
            <w:tcW w:type="dxa" w:w="1847"/>
            <w:tcBorders>
              <w:bottom w:val="single" w:sz="6" w:space="4" w:color="D8DCE3"/>
            </w:tcBorders>
          </w:tcPr>
          <w:p>
            <w:pPr>
              <w:spacing w:after="60"/>
            </w:pPr>
            <w:r/>
            <w:r>
              <w:rPr>
                <w:rFonts w:ascii="Georgia" w:hAnsi="Georgia"/>
                <w:sz w:val="18"/>
              </w:rPr>
              <w:t>S-001..S-003</w:t>
            </w:r>
          </w:p>
        </w:tc>
      </w:tr>
      <w:tr>
        <w:tc>
          <w:tcPr>
            <w:tcW w:type="dxa" w:w="1047"/>
            <w:tcBorders>
              <w:bottom w:val="single" w:sz="6" w:space="4" w:color="D8DCE3"/>
            </w:tcBorders>
          </w:tcPr>
          <w:p>
            <w:pPr>
              <w:spacing w:after="60"/>
            </w:pPr>
            <w:r/>
            <w:r>
              <w:rPr>
                <w:rFonts w:ascii="Georgia" w:hAnsi="Georgia"/>
                <w:sz w:val="18"/>
              </w:rPr>
              <w:t>Q-005</w:t>
            </w:r>
          </w:p>
        </w:tc>
        <w:tc>
          <w:tcPr>
            <w:tcW w:type="dxa" w:w="2740"/>
            <w:tcBorders>
              <w:bottom w:val="single" w:sz="6" w:space="4" w:color="D8DCE3"/>
            </w:tcBorders>
          </w:tcPr>
          <w:p>
            <w:pPr>
              <w:spacing w:after="60"/>
            </w:pPr>
            <w:r/>
            <w:r>
              <w:rPr>
                <w:rFonts w:ascii="Georgia" w:hAnsi="Georgia"/>
                <w:sz w:val="18"/>
              </w:rPr>
              <w:t>Will a sponsor accept a graded specification</w:t>
            </w:r>
          </w:p>
        </w:tc>
        <w:tc>
          <w:tcPr>
            <w:tcW w:type="dxa" w:w="1662"/>
            <w:tcBorders>
              <w:bottom w:val="single" w:sz="6" w:space="4" w:color="D8DCE3"/>
            </w:tcBorders>
          </w:tcPr>
          <w:p>
            <w:pPr>
              <w:spacing w:after="60"/>
            </w:pPr>
            <w:r/>
            <w:r>
              <w:rPr>
                <w:rFonts w:ascii="Georgia" w:hAnsi="Georgia"/>
                <w:sz w:val="18"/>
              </w:rPr>
              <w:t>R. Hightower + 3 sponsors</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FR-013, TR-001</w:t>
            </w:r>
          </w:p>
        </w:tc>
      </w:tr>
      <w:tr>
        <w:tc>
          <w:tcPr>
            <w:tcW w:type="dxa" w:w="1047"/>
            <w:tcBorders>
              <w:bottom w:val="single" w:sz="6" w:space="4" w:color="D8DCE3"/>
            </w:tcBorders>
          </w:tcPr>
          <w:p>
            <w:pPr>
              <w:spacing w:after="60"/>
            </w:pPr>
            <w:r/>
            <w:r>
              <w:rPr>
                <w:rFonts w:ascii="Georgia" w:hAnsi="Georgia"/>
                <w:sz w:val="18"/>
              </w:rPr>
              <w:t>Q-006</w:t>
            </w:r>
          </w:p>
        </w:tc>
        <w:tc>
          <w:tcPr>
            <w:tcW w:type="dxa" w:w="2740"/>
            <w:tcBorders>
              <w:bottom w:val="single" w:sz="6" w:space="4" w:color="D8DCE3"/>
            </w:tcBorders>
          </w:tcPr>
          <w:p>
            <w:pPr>
              <w:spacing w:after="60"/>
            </w:pPr>
            <w:r/>
            <w:r>
              <w:rPr>
                <w:rFonts w:ascii="Georgia" w:hAnsi="Georgia"/>
                <w:sz w:val="18"/>
              </w:rPr>
              <w:t>Sections completed per sitting, and where they stop</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R-004, NFR-005</w:t>
            </w:r>
          </w:p>
        </w:tc>
      </w:tr>
      <w:tr>
        <w:tc>
          <w:tcPr>
            <w:tcW w:type="dxa" w:w="1047"/>
            <w:tcBorders>
              <w:bottom w:val="single" w:sz="6" w:space="4" w:color="D8DCE3"/>
            </w:tcBorders>
          </w:tcPr>
          <w:p>
            <w:pPr>
              <w:spacing w:after="60"/>
            </w:pPr>
            <w:r/>
            <w:r>
              <w:rPr>
                <w:rFonts w:ascii="Georgia" w:hAnsi="Georgia"/>
                <w:sz w:val="18"/>
              </w:rPr>
              <w:t>Q-007</w:t>
            </w:r>
          </w:p>
        </w:tc>
        <w:tc>
          <w:tcPr>
            <w:tcW w:type="dxa" w:w="2740"/>
            <w:tcBorders>
              <w:bottom w:val="single" w:sz="6" w:space="4" w:color="D8DCE3"/>
            </w:tcBorders>
          </w:tcPr>
          <w:p>
            <w:pPr>
              <w:spacing w:after="60"/>
            </w:pPr>
            <w:r/>
            <w:r>
              <w:rPr>
                <w:rFonts w:ascii="Georgia" w:hAnsi="Georgia"/>
                <w:sz w:val="18"/>
              </w:rPr>
              <w:t>Is the working order right, and how does looping back feel</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ST-004</w:t>
            </w:r>
          </w:p>
        </w:tc>
      </w:tr>
      <w:tr>
        <w:tc>
          <w:tcPr>
            <w:tcW w:type="dxa" w:w="1047"/>
            <w:tcBorders>
              <w:bottom w:val="single" w:sz="6" w:space="4" w:color="D8DCE3"/>
            </w:tcBorders>
          </w:tcPr>
          <w:p>
            <w:pPr>
              <w:spacing w:after="60"/>
            </w:pPr>
            <w:r/>
            <w:r>
              <w:rPr>
                <w:rFonts w:ascii="Georgia" w:hAnsi="Georgia"/>
                <w:sz w:val="18"/>
              </w:rPr>
              <w:t>Q-008</w:t>
            </w:r>
          </w:p>
        </w:tc>
        <w:tc>
          <w:tcPr>
            <w:tcW w:type="dxa" w:w="2740"/>
            <w:tcBorders>
              <w:bottom w:val="single" w:sz="6" w:space="4" w:color="D8DCE3"/>
            </w:tcBorders>
          </w:tcPr>
          <w:p>
            <w:pPr>
              <w:spacing w:after="60"/>
            </w:pPr>
            <w:r/>
            <w:r>
              <w:rPr>
                <w:rFonts w:ascii="Georgia" w:hAnsi="Georgia"/>
                <w:sz w:val="18"/>
              </w:rPr>
              <w:t>Disciplined or incomplete, to an engineering lead</w:t>
            </w:r>
          </w:p>
        </w:tc>
        <w:tc>
          <w:tcPr>
            <w:tcW w:type="dxa" w:w="1662"/>
            <w:tcBorders>
              <w:bottom w:val="single" w:sz="6" w:space="4" w:color="D8DCE3"/>
            </w:tcBorders>
          </w:tcPr>
          <w:p>
            <w:pPr>
              <w:spacing w:after="60"/>
            </w:pPr>
            <w:r/>
            <w:r>
              <w:rPr>
                <w:rFonts w:ascii="Georgia" w:hAnsi="Georgia"/>
                <w:sz w:val="18"/>
              </w:rPr>
              <w:t>R. Hightower + 3 leads</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A-003</w:t>
            </w:r>
          </w:p>
        </w:tc>
      </w:tr>
      <w:tr>
        <w:tc>
          <w:tcPr>
            <w:tcW w:type="dxa" w:w="1047"/>
            <w:tcBorders>
              <w:bottom w:val="single" w:sz="6" w:space="4" w:color="D8DCE3"/>
            </w:tcBorders>
          </w:tcPr>
          <w:p>
            <w:pPr>
              <w:spacing w:after="60"/>
            </w:pPr>
            <w:r/>
            <w:r>
              <w:rPr>
                <w:rFonts w:ascii="Georgia" w:hAnsi="Georgia"/>
                <w:sz w:val="18"/>
              </w:rPr>
              <w:t>Q-009</w:t>
            </w:r>
          </w:p>
        </w:tc>
        <w:tc>
          <w:tcPr>
            <w:tcW w:type="dxa" w:w="2740"/>
            <w:tcBorders>
              <w:bottom w:val="single" w:sz="6" w:space="4" w:color="D8DCE3"/>
            </w:tcBorders>
          </w:tcPr>
          <w:p>
            <w:pPr>
              <w:spacing w:after="60"/>
            </w:pPr>
            <w:r/>
            <w:r>
              <w:rPr>
                <w:rFonts w:ascii="Georgia" w:hAnsi="Georgia"/>
                <w:sz w:val="18"/>
              </w:rPr>
              <w:t>Where the rubric and the checks live, and who owns them</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FR-004, FR-009..FR-012, NFR-007</w:t>
            </w:r>
          </w:p>
        </w:tc>
      </w:tr>
      <w:tr>
        <w:tc>
          <w:tcPr>
            <w:tcW w:type="dxa" w:w="1047"/>
            <w:tcBorders>
              <w:bottom w:val="single" w:sz="6" w:space="4" w:color="D8DCE3"/>
            </w:tcBorders>
          </w:tcPr>
          <w:p>
            <w:pPr>
              <w:spacing w:after="60"/>
            </w:pPr>
            <w:r/>
            <w:r>
              <w:rPr>
                <w:rFonts w:ascii="Georgia" w:hAnsi="Georgia"/>
                <w:sz w:val="18"/>
              </w:rPr>
              <w:t>Q-010</w:t>
            </w:r>
          </w:p>
        </w:tc>
        <w:tc>
          <w:tcPr>
            <w:tcW w:type="dxa" w:w="2740"/>
            <w:tcBorders>
              <w:bottom w:val="single" w:sz="6" w:space="4" w:color="D8DCE3"/>
            </w:tcBorders>
          </w:tcPr>
          <w:p>
            <w:pPr>
              <w:spacing w:after="60"/>
            </w:pPr>
            <w:r/>
            <w:r>
              <w:rPr>
                <w:rFonts w:ascii="Georgia" w:hAnsi="Georgia"/>
                <w:sz w:val="18"/>
              </w:rPr>
              <w:t>Where an answer lives before its section is drafted</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FR-015, NFR-011</w:t>
            </w:r>
          </w:p>
        </w:tc>
      </w:tr>
      <w:tr>
        <w:tc>
          <w:tcPr>
            <w:tcW w:type="dxa" w:w="1047"/>
            <w:tcBorders>
              <w:bottom w:val="single" w:sz="6" w:space="4" w:color="D8DCE3"/>
            </w:tcBorders>
          </w:tcPr>
          <w:p>
            <w:pPr>
              <w:spacing w:after="60"/>
            </w:pPr>
            <w:r/>
            <w:r>
              <w:rPr>
                <w:rFonts w:ascii="Georgia" w:hAnsi="Georgia"/>
                <w:sz w:val="18"/>
              </w:rPr>
              <w:t>Q-011</w:t>
            </w:r>
          </w:p>
        </w:tc>
        <w:tc>
          <w:tcPr>
            <w:tcW w:type="dxa" w:w="2740"/>
            <w:tcBorders>
              <w:bottom w:val="single" w:sz="6" w:space="4" w:color="D8DCE3"/>
            </w:tcBorders>
          </w:tcPr>
          <w:p>
            <w:pPr>
              <w:spacing w:after="60"/>
            </w:pPr>
            <w:r/>
            <w:r>
              <w:rPr>
                <w:rFonts w:ascii="Georgia" w:hAnsi="Georgia"/>
                <w:sz w:val="18"/>
              </w:rPr>
              <w:t>How an approver records a decision, and who owns NFR-006/012</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2027-02-28</w:t>
            </w:r>
          </w:p>
        </w:tc>
        <w:tc>
          <w:tcPr>
            <w:tcW w:type="dxa" w:w="1847"/>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breaches a stated constraint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p>
            <w:pPr>
              <w:spacing w:after="40"/>
              <w:ind w:left="173"/>
            </w:pPr>
            <w:r>
              <w:rPr>
                <w:rFonts w:ascii="Georgia" w:hAnsi="Georgia"/>
                <w:sz w:val="19"/>
              </w:rPr>
              <w:t>• S-003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 with 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that C-003 forbids retaining content outside the documents and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breaches a stated policy constraint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C-001 puts the product inside the expert's session and OUT-003 excludes any view of our own, and who owns NFR-006's accessibility and NFR-012's access control, which describe things C-001 and C-002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 with the three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w:t>
      </w:r>
    </w:p>
    <w:p>
      <w:pPr>
        <w:jc w:val="center"/>
      </w:pPr>
      <w:r>
        <w:drawing>
          <wp:inline xmlns:a="http://schemas.openxmlformats.org/drawingml/2006/main" xmlns:pic="http://schemas.openxmlformats.org/drawingml/2006/picture">
            <wp:extent cx="5486399" cy="6599075"/>
            <wp:docPr id="20" name="Picture 20"/>
            <wp:cNvGraphicFramePr>
              <a:graphicFrameLocks noChangeAspect="1"/>
            </wp:cNvGraphicFramePr>
            <a:graphic>
              <a:graphicData uri="http://schemas.openxmlformats.org/drawingml/2006/picture">
                <pic:pic>
                  <pic:nvPicPr>
                    <pic:cNvPr id="0" name="release-line.png"/>
                    <pic:cNvPicPr/>
                  </pic:nvPicPr>
                  <pic:blipFill>
                    <a:blip r:embed="rId28"/>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508"/>
        <w:gridCol w:w="3265"/>
        <w:gridCol w:w="2123"/>
        <w:gridCol w:w="1771"/>
      </w:tblGrid>
      <w:tr>
        <w:tc>
          <w:tcPr>
            <w:tcW w:type="dxa" w:w="1508"/>
            <w:tcBorders>
              <w:bottom w:val="single" w:sz="12" w:space="4" w:color="16181D"/>
            </w:tcBorders>
          </w:tcPr>
          <w:p>
            <w:pPr>
              <w:spacing w:after="60"/>
            </w:pPr>
            <w:r/>
            <w:r>
              <w:rPr>
                <w:rFonts w:ascii="Calibri" w:hAnsi="Calibri"/>
                <w:b/>
                <w:caps/>
                <w:color w:val="5C6370"/>
                <w:sz w:val="15"/>
              </w:rPr>
              <w:t>ID</w:t>
            </w:r>
          </w:p>
        </w:tc>
        <w:tc>
          <w:tcPr>
            <w:tcW w:type="dxa" w:w="3266"/>
            <w:tcBorders>
              <w:bottom w:val="single" w:sz="12" w:space="4" w:color="16181D"/>
            </w:tcBorders>
          </w:tcPr>
          <w:p>
            <w:pPr>
              <w:spacing w:after="60"/>
            </w:pPr>
            <w:r/>
            <w:r>
              <w:rPr>
                <w:rFonts w:ascii="Calibri" w:hAnsi="Calibri"/>
                <w:b/>
                <w:caps/>
                <w:color w:val="5C6370"/>
                <w:sz w:val="15"/>
              </w:rPr>
              <w:t>Release</w:t>
            </w:r>
          </w:p>
        </w:tc>
        <w:tc>
          <w:tcPr>
            <w:tcW w:type="dxa" w:w="2123"/>
            <w:tcBorders>
              <w:bottom w:val="single" w:sz="12" w:space="4" w:color="16181D"/>
            </w:tcBorders>
          </w:tcPr>
          <w:p>
            <w:pPr>
              <w:spacing w:after="60"/>
            </w:pPr>
            <w:r/>
            <w:r>
              <w:rPr>
                <w:rFonts w:ascii="Calibri" w:hAnsi="Calibri"/>
                <w:b/>
                <w:caps/>
                <w:color w:val="5C6370"/>
                <w:sz w:val="15"/>
              </w:rPr>
              <w:t>Stages</w:t>
            </w:r>
          </w:p>
        </w:tc>
        <w:tc>
          <w:tcPr>
            <w:tcW w:type="dxa" w:w="1772"/>
            <w:tcBorders>
              <w:bottom w:val="single" w:sz="12" w:space="4" w:color="16181D"/>
            </w:tcBorders>
          </w:tcPr>
          <w:p>
            <w:pPr>
              <w:spacing w:after="60"/>
            </w:pPr>
            <w:r/>
            <w:r>
              <w:rPr>
                <w:rFonts w:ascii="Calibri" w:hAnsi="Calibri"/>
                <w:b/>
                <w:caps/>
                <w:color w:val="5C6370"/>
                <w:sz w:val="15"/>
              </w:rPr>
              <w:t>Target</w:t>
            </w:r>
          </w:p>
        </w:tc>
      </w:tr>
      <w:tr>
        <w:tc>
          <w:tcPr>
            <w:tcW w:type="dxa" w:w="1508"/>
            <w:tcBorders>
              <w:bottom w:val="single" w:sz="6" w:space="4" w:color="D8DCE3"/>
            </w:tcBorders>
          </w:tcPr>
          <w:p>
            <w:pPr>
              <w:spacing w:after="60"/>
            </w:pPr>
            <w:r/>
            <w:r>
              <w:rPr>
                <w:rFonts w:ascii="Georgia" w:hAnsi="Georgia"/>
                <w:sz w:val="18"/>
              </w:rPr>
              <w:t>REL-001</w:t>
            </w:r>
          </w:p>
        </w:tc>
        <w:tc>
          <w:tcPr>
            <w:tcW w:type="dxa" w:w="3266"/>
            <w:tcBorders>
              <w:bottom w:val="single" w:sz="6" w:space="4" w:color="D8DCE3"/>
            </w:tcBorders>
          </w:tcPr>
          <w:p>
            <w:pPr>
              <w:spacing w:after="60"/>
            </w:pPr>
            <w:r/>
            <w:r>
              <w:rPr>
                <w:rFonts w:ascii="Georgia" w:hAnsi="Georgia"/>
                <w:sz w:val="18"/>
              </w:rPr>
              <w:t>Single-expert PRD authoring</w:t>
            </w:r>
          </w:p>
        </w:tc>
        <w:tc>
          <w:tcPr>
            <w:tcW w:type="dxa" w:w="2123"/>
            <w:tcBorders>
              <w:bottom w:val="single" w:sz="6" w:space="4" w:color="D8DCE3"/>
            </w:tcBorders>
          </w:tcPr>
          <w:p>
            <w:pPr>
              <w:spacing w:after="60"/>
            </w:pPr>
            <w:r/>
            <w:r>
              <w:rPr>
                <w:rFonts w:ascii="Georgia" w:hAnsi="Georgia"/>
                <w:sz w:val="18"/>
              </w:rPr>
              <w:t>ST-001..ST-006</w:t>
            </w:r>
          </w:p>
        </w:tc>
        <w:tc>
          <w:tcPr>
            <w:tcW w:type="dxa" w:w="1772"/>
            <w:tcBorders>
              <w:bottom w:val="single" w:sz="6" w:space="4" w:color="D8DCE3"/>
            </w:tcBorders>
          </w:tcPr>
          <w:p>
            <w:pPr>
              <w:spacing w:after="60"/>
            </w:pPr>
            <w:r/>
            <w:r>
              <w:rPr>
                <w:rFonts w:ascii="Georgia" w:hAnsi="Georgia"/>
                <w:sz w:val="18"/>
              </w:rPr>
              <w:t>2027-03-31</w:t>
            </w:r>
          </w:p>
        </w:tc>
      </w:tr>
      <w:tr>
        <w:tc>
          <w:tcPr>
            <w:tcW w:type="dxa" w:w="1508"/>
            <w:tcBorders>
              <w:bottom w:val="single" w:sz="6" w:space="4" w:color="D8DCE3"/>
            </w:tcBorders>
          </w:tcPr>
          <w:p>
            <w:pPr>
              <w:spacing w:after="60"/>
            </w:pPr>
            <w:r/>
            <w:r>
              <w:rPr>
                <w:rFonts w:ascii="Georgia" w:hAnsi="Georgia"/>
                <w:sz w:val="18"/>
              </w:rPr>
              <w:t>REL-002</w:t>
            </w:r>
          </w:p>
        </w:tc>
        <w:tc>
          <w:tcPr>
            <w:tcW w:type="dxa" w:w="3266"/>
            <w:tcBorders>
              <w:bottom w:val="single" w:sz="6" w:space="4" w:color="D8DCE3"/>
            </w:tcBorders>
          </w:tcPr>
          <w:p>
            <w:pPr>
              <w:spacing w:after="60"/>
            </w:pPr>
            <w:r/>
            <w:r>
              <w:rPr>
                <w:rFonts w:ascii="Georgia" w:hAnsi="Georgia"/>
                <w:sz w:val="18"/>
              </w:rPr>
              <w:t>Backlog derivation</w:t>
            </w:r>
          </w:p>
        </w:tc>
        <w:tc>
          <w:tcPr>
            <w:tcW w:type="dxa" w:w="2123"/>
            <w:tcBorders>
              <w:bottom w:val="single" w:sz="6" w:space="4" w:color="D8DCE3"/>
            </w:tcBorders>
          </w:tcPr>
          <w:p>
            <w:pPr>
              <w:spacing w:after="60"/>
            </w:pPr>
            <w:r/>
            <w:r>
              <w:rPr>
                <w:rFonts w:ascii="Georgia" w:hAnsi="Georgia"/>
                <w:sz w:val="18"/>
              </w:rPr>
              <w:t>ST-007, ST-008</w:t>
            </w:r>
          </w:p>
        </w:tc>
        <w:tc>
          <w:tcPr>
            <w:tcW w:type="dxa" w:w="1772"/>
            <w:tcBorders>
              <w:bottom w:val="single" w:sz="6" w:space="4" w:color="D8DCE3"/>
            </w:tcBorders>
          </w:tcPr>
          <w:p>
            <w:pPr>
              <w:spacing w:after="60"/>
            </w:pPr>
            <w:r/>
            <w:r>
              <w:rPr>
                <w:rFonts w:ascii="Georgia" w:hAnsi="Georgia"/>
                <w:sz w:val="18"/>
              </w:rPr>
              <w:t>2027-06-30</w:t>
            </w:r>
          </w:p>
        </w:tc>
      </w:tr>
      <w:tr>
        <w:tc>
          <w:tcPr>
            <w:tcW w:type="dxa" w:w="1508"/>
            <w:tcBorders>
              <w:bottom w:val="single" w:sz="6" w:space="4" w:color="D8DCE3"/>
            </w:tcBorders>
          </w:tcPr>
          <w:p>
            <w:pPr>
              <w:spacing w:after="60"/>
            </w:pPr>
            <w:r/>
            <w:r>
              <w:rPr>
                <w:rFonts w:ascii="Georgia" w:hAnsi="Georgia"/>
                <w:sz w:val="18"/>
              </w:rPr>
              <w:t>REL-003</w:t>
            </w:r>
          </w:p>
        </w:tc>
        <w:tc>
          <w:tcPr>
            <w:tcW w:type="dxa" w:w="3266"/>
            <w:tcBorders>
              <w:bottom w:val="single" w:sz="6" w:space="4" w:color="D8DCE3"/>
            </w:tcBorders>
          </w:tcPr>
          <w:p>
            <w:pPr>
              <w:spacing w:after="60"/>
            </w:pPr>
            <w:r/>
            <w:r>
              <w:rPr>
                <w:rFonts w:ascii="Georgia" w:hAnsi="Georgia"/>
                <w:sz w:val="18"/>
              </w:rPr>
              <w:t>More than one author</w:t>
            </w:r>
          </w:p>
        </w:tc>
        <w:tc>
          <w:tcPr>
            <w:tcW w:type="dxa" w:w="2123"/>
            <w:tcBorders>
              <w:bottom w:val="single" w:sz="6" w:space="4" w:color="D8DCE3"/>
            </w:tcBorders>
          </w:tcPr>
          <w:p>
            <w:pPr>
              <w:spacing w:after="60"/>
            </w:pPr>
            <w:r/>
            <w:r>
              <w:rPr>
                <w:rFonts w:ascii="Georgia" w:hAnsi="Georgia"/>
                <w:sz w:val="18"/>
              </w:rPr>
              <w:t>—</w:t>
            </w:r>
          </w:p>
        </w:tc>
        <w:tc>
          <w:tcPr>
            <w:tcW w:type="dxa" w:w="1772"/>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627"/>
        <w:gridCol w:w="4386"/>
      </w:tblGrid>
      <w:tr>
        <w:tc>
          <w:tcPr>
            <w:tcW w:type="dxa" w:w="4628"/>
            <w:tcBorders>
              <w:bottom w:val="single" w:sz="12" w:space="4" w:color="16181D"/>
            </w:tcBorders>
          </w:tcPr>
          <w:p>
            <w:pPr>
              <w:spacing w:after="60"/>
            </w:pPr>
            <w:r/>
            <w:r>
              <w:rPr>
                <w:rFonts w:ascii="Calibri" w:hAnsi="Calibri"/>
                <w:b/>
                <w:caps/>
                <w:color w:val="5C6370"/>
                <w:sz w:val="15"/>
              </w:rPr>
              <w:t>Term</w:t>
            </w:r>
          </w:p>
        </w:tc>
        <w:tc>
          <w:tcPr>
            <w:tcW w:type="dxa" w:w="4387"/>
            <w:tcBorders>
              <w:bottom w:val="single" w:sz="12" w:space="4" w:color="16181D"/>
            </w:tcBorders>
          </w:tcPr>
          <w:p>
            <w:pPr>
              <w:spacing w:after="60"/>
            </w:pPr>
            <w:r/>
            <w:r>
              <w:rPr>
                <w:rFonts w:ascii="Calibri" w:hAnsi="Calibri"/>
                <w:b/>
                <w:caps/>
                <w:color w:val="5C6370"/>
                <w:sz w:val="15"/>
              </w:rPr>
              <w:t>Most often confused with</w:t>
            </w:r>
          </w:p>
        </w:tc>
      </w:tr>
      <w:tr>
        <w:tc>
          <w:tcPr>
            <w:tcW w:type="dxa" w:w="4628"/>
            <w:tcBorders>
              <w:bottom w:val="single" w:sz="6" w:space="4" w:color="D8DCE3"/>
            </w:tcBorders>
          </w:tcPr>
          <w:p>
            <w:pPr>
              <w:spacing w:after="60"/>
            </w:pPr>
            <w:r/>
            <w:r>
              <w:rPr>
                <w:rFonts w:ascii="Georgia" w:hAnsi="Georgia"/>
                <w:sz w:val="18"/>
              </w:rPr>
              <w:t>PRD</w:t>
            </w:r>
          </w:p>
        </w:tc>
        <w:tc>
          <w:tcPr>
            <w:tcW w:type="dxa" w:w="4387"/>
            <w:tcBorders>
              <w:bottom w:val="single" w:sz="6" w:space="4" w:color="D8DCE3"/>
            </w:tcBorders>
          </w:tcPr>
          <w:p>
            <w:pPr>
              <w:spacing w:after="60"/>
            </w:pPr>
            <w:r/>
            <w:r>
              <w:rPr>
                <w:rFonts w:ascii="Georgia" w:hAnsi="Georgia"/>
                <w:sz w:val="18"/>
              </w:rPr>
              <w:t>A design document</w:t>
            </w:r>
          </w:p>
        </w:tc>
      </w:tr>
      <w:tr>
        <w:tc>
          <w:tcPr>
            <w:tcW w:type="dxa" w:w="4628"/>
            <w:tcBorders>
              <w:bottom w:val="single" w:sz="6" w:space="4" w:color="D8DCE3"/>
            </w:tcBorders>
          </w:tcPr>
          <w:p>
            <w:pPr>
              <w:spacing w:after="60"/>
            </w:pPr>
            <w:r/>
            <w:r>
              <w:rPr>
                <w:rFonts w:ascii="Georgia" w:hAnsi="Georgia"/>
                <w:sz w:val="18"/>
              </w:rPr>
              <w:t>Golden thread</w:t>
            </w:r>
          </w:p>
        </w:tc>
        <w:tc>
          <w:tcPr>
            <w:tcW w:type="dxa" w:w="4387"/>
            <w:tcBorders>
              <w:bottom w:val="single" w:sz="6" w:space="4" w:color="D8DCE3"/>
            </w:tcBorders>
          </w:tcPr>
          <w:p>
            <w:pPr>
              <w:spacing w:after="60"/>
            </w:pPr>
            <w:r/>
            <w:r>
              <w:rPr>
                <w:rFonts w:ascii="Georgia" w:hAnsi="Georgia"/>
                <w:sz w:val="18"/>
              </w:rPr>
              <w:t>The most important journey</w:t>
            </w:r>
          </w:p>
        </w:tc>
      </w:tr>
      <w:tr>
        <w:tc>
          <w:tcPr>
            <w:tcW w:type="dxa" w:w="4628"/>
            <w:tcBorders>
              <w:bottom w:val="single" w:sz="6" w:space="4" w:color="D8DCE3"/>
            </w:tcBorders>
          </w:tcPr>
          <w:p>
            <w:pPr>
              <w:spacing w:after="60"/>
            </w:pPr>
            <w:r/>
            <w:r>
              <w:rPr>
                <w:rFonts w:ascii="Georgia" w:hAnsi="Georgia"/>
                <w:sz w:val="18"/>
              </w:rPr>
              <w:t>Release line</w:t>
            </w:r>
          </w:p>
        </w:tc>
        <w:tc>
          <w:tcPr>
            <w:tcW w:type="dxa" w:w="4387"/>
            <w:tcBorders>
              <w:bottom w:val="single" w:sz="6" w:space="4" w:color="D8DCE3"/>
            </w:tcBorders>
          </w:tcPr>
          <w:p>
            <w:pPr>
              <w:spacing w:after="60"/>
            </w:pPr>
            <w:r/>
            <w:r>
              <w:rPr>
                <w:rFonts w:ascii="Georgia" w:hAnsi="Georgia"/>
                <w:sz w:val="18"/>
              </w:rPr>
              <w:t>A date</w:t>
            </w:r>
          </w:p>
        </w:tc>
      </w:tr>
      <w:tr>
        <w:tc>
          <w:tcPr>
            <w:tcW w:type="dxa" w:w="4628"/>
            <w:tcBorders>
              <w:bottom w:val="single" w:sz="6" w:space="4" w:color="D8DCE3"/>
            </w:tcBorders>
          </w:tcPr>
          <w:p>
            <w:pPr>
              <w:spacing w:after="60"/>
            </w:pPr>
            <w:r/>
            <w:r>
              <w:rPr>
                <w:rFonts w:ascii="Georgia" w:hAnsi="Georgia"/>
                <w:sz w:val="18"/>
              </w:rPr>
              <w:t>Stage</w:t>
            </w:r>
          </w:p>
        </w:tc>
        <w:tc>
          <w:tcPr>
            <w:tcW w:type="dxa" w:w="4387"/>
            <w:tcBorders>
              <w:bottom w:val="single" w:sz="6" w:space="4" w:color="D8DCE3"/>
            </w:tcBorders>
          </w:tcPr>
          <w:p>
            <w:pPr>
              <w:spacing w:after="60"/>
            </w:pPr>
            <w:r/>
            <w:r>
              <w:rPr>
                <w:rFonts w:ascii="Georgia" w:hAnsi="Georgia"/>
                <w:sz w:val="18"/>
              </w:rPr>
              <w:t>A screen</w:t>
            </w:r>
          </w:p>
        </w:tc>
      </w:tr>
      <w:tr>
        <w:tc>
          <w:tcPr>
            <w:tcW w:type="dxa" w:w="4628"/>
            <w:tcBorders>
              <w:bottom w:val="single" w:sz="6" w:space="4" w:color="D8DCE3"/>
            </w:tcBorders>
          </w:tcPr>
          <w:p>
            <w:pPr>
              <w:spacing w:after="60"/>
            </w:pPr>
            <w:r/>
            <w:r>
              <w:rPr>
                <w:rFonts w:ascii="Georgia" w:hAnsi="Georgia"/>
                <w:sz w:val="18"/>
              </w:rPr>
              <w:t>Rubric</w:t>
            </w:r>
          </w:p>
        </w:tc>
        <w:tc>
          <w:tcPr>
            <w:tcW w:type="dxa" w:w="4387"/>
            <w:tcBorders>
              <w:bottom w:val="single" w:sz="6" w:space="4" w:color="D8DCE3"/>
            </w:tcBorders>
          </w:tcPr>
          <w:p>
            <w:pPr>
              <w:spacing w:after="60"/>
            </w:pPr>
            <w:r/>
            <w:r>
              <w:rPr>
                <w:rFonts w:ascii="Georgia" w:hAnsi="Georgia"/>
                <w:sz w:val="18"/>
              </w:rPr>
              <w:t>A checklist</w:t>
            </w:r>
          </w:p>
        </w:tc>
      </w:tr>
      <w:tr>
        <w:tc>
          <w:tcPr>
            <w:tcW w:type="dxa" w:w="4628"/>
            <w:tcBorders>
              <w:bottom w:val="single" w:sz="6" w:space="4" w:color="D8DCE3"/>
            </w:tcBorders>
          </w:tcPr>
          <w:p>
            <w:pPr>
              <w:spacing w:after="60"/>
            </w:pPr>
            <w:r/>
            <w:r>
              <w:rPr>
                <w:rFonts w:ascii="Georgia" w:hAnsi="Georgia"/>
                <w:sz w:val="18"/>
              </w:rPr>
              <w:t>Blocking defect</w:t>
            </w:r>
          </w:p>
        </w:tc>
        <w:tc>
          <w:tcPr>
            <w:tcW w:type="dxa" w:w="4387"/>
            <w:tcBorders>
              <w:bottom w:val="single" w:sz="6" w:space="4" w:color="D8DCE3"/>
            </w:tcBorders>
          </w:tcPr>
          <w:p>
            <w:pPr>
              <w:spacing w:after="60"/>
            </w:pPr>
            <w:r/>
            <w:r>
              <w:rPr>
                <w:rFonts w:ascii="Georgia" w:hAnsi="Georgia"/>
                <w:sz w:val="18"/>
              </w:rPr>
              <w:t>A low score</w:t>
            </w:r>
          </w:p>
        </w:tc>
      </w:tr>
      <w:tr>
        <w:tc>
          <w:tcPr>
            <w:tcW w:type="dxa" w:w="4628"/>
            <w:tcBorders>
              <w:bottom w:val="single" w:sz="6" w:space="4" w:color="D8DCE3"/>
            </w:tcBorders>
          </w:tcPr>
          <w:p>
            <w:pPr>
              <w:spacing w:after="60"/>
            </w:pPr>
            <w:r/>
            <w:r>
              <w:rPr>
                <w:rFonts w:ascii="Georgia" w:hAnsi="Georgia"/>
                <w:sz w:val="18"/>
              </w:rPr>
              <w:t>Score</w:t>
            </w:r>
          </w:p>
        </w:tc>
        <w:tc>
          <w:tcPr>
            <w:tcW w:type="dxa" w:w="4387"/>
            <w:tcBorders>
              <w:bottom w:val="single" w:sz="6" w:space="4" w:color="D8DCE3"/>
            </w:tcBorders>
          </w:tcPr>
          <w:p>
            <w:pPr>
              <w:spacing w:after="60"/>
            </w:pPr>
            <w:r/>
            <w:r>
              <w:rPr>
                <w:rFonts w:ascii="Georgia" w:hAnsi="Georgia"/>
                <w:sz w:val="18"/>
              </w:rPr>
              <w:t>A verdict on the product idea</w:t>
            </w:r>
          </w:p>
        </w:tc>
      </w:tr>
      <w:tr>
        <w:tc>
          <w:tcPr>
            <w:tcW w:type="dxa" w:w="4628"/>
            <w:tcBorders>
              <w:bottom w:val="single" w:sz="6" w:space="4" w:color="D8DCE3"/>
            </w:tcBorders>
          </w:tcPr>
          <w:p>
            <w:pPr>
              <w:spacing w:after="60"/>
            </w:pPr>
            <w:r/>
            <w:r>
              <w:rPr>
                <w:rFonts w:ascii="Georgia" w:hAnsi="Georgia"/>
                <w:sz w:val="18"/>
              </w:rPr>
              <w:t>Spike</w:t>
            </w:r>
          </w:p>
        </w:tc>
        <w:tc>
          <w:tcPr>
            <w:tcW w:type="dxa" w:w="4387"/>
            <w:tcBorders>
              <w:bottom w:val="single" w:sz="6" w:space="4" w:color="D8DCE3"/>
            </w:tcBorders>
          </w:tcPr>
          <w:p>
            <w:pPr>
              <w:spacing w:after="60"/>
            </w:pPr>
            <w:r/>
            <w:r>
              <w:rPr>
                <w:rFonts w:ascii="Georgia" w:hAnsi="Georgia"/>
                <w:sz w:val="18"/>
              </w:rPr>
              <w:t>A piece of the product</w:t>
            </w:r>
          </w:p>
        </w:tc>
      </w:tr>
      <w:tr>
        <w:tc>
          <w:tcPr>
            <w:tcW w:type="dxa" w:w="4628"/>
            <w:tcBorders>
              <w:bottom w:val="single" w:sz="6" w:space="4" w:color="D8DCE3"/>
            </w:tcBorders>
          </w:tcPr>
          <w:p>
            <w:pPr>
              <w:spacing w:after="60"/>
            </w:pPr>
            <w:r/>
            <w:r>
              <w:rPr>
                <w:rFonts w:ascii="Georgia" w:hAnsi="Georgia"/>
                <w:sz w:val="18"/>
              </w:rPr>
              <w:t>Open question</w:t>
            </w:r>
          </w:p>
        </w:tc>
        <w:tc>
          <w:tcPr>
            <w:tcW w:type="dxa" w:w="4387"/>
            <w:tcBorders>
              <w:bottom w:val="single" w:sz="6" w:space="4" w:color="D8DCE3"/>
            </w:tcBorders>
          </w:tcPr>
          <w:p>
            <w:pPr>
              <w:spacing w:after="60"/>
            </w:pPr>
            <w:r/>
            <w:r>
              <w:rPr>
                <w:rFonts w:ascii="Georgia" w:hAnsi="Georgia"/>
                <w:sz w:val="18"/>
              </w:rPr>
              <w:t>A risk</w:t>
            </w:r>
          </w:p>
        </w:tc>
      </w:tr>
      <w:tr>
        <w:tc>
          <w:tcPr>
            <w:tcW w:type="dxa" w:w="4628"/>
            <w:tcBorders>
              <w:bottom w:val="single" w:sz="6" w:space="4" w:color="D8DCE3"/>
            </w:tcBorders>
          </w:tcPr>
          <w:p>
            <w:pPr>
              <w:spacing w:after="60"/>
            </w:pPr>
            <w:r/>
            <w:r>
              <w:rPr>
                <w:rFonts w:ascii="Georgia" w:hAnsi="Georgia"/>
                <w:sz w:val="18"/>
              </w:rPr>
              <w:t>Non-goal</w:t>
            </w:r>
          </w:p>
        </w:tc>
        <w:tc>
          <w:tcPr>
            <w:tcW w:type="dxa" w:w="4387"/>
            <w:tcBorders>
              <w:bottom w:val="single" w:sz="6" w:space="4" w:color="D8DCE3"/>
            </w:tcBorders>
          </w:tcPr>
          <w:p>
            <w:pPr>
              <w:spacing w:after="60"/>
            </w:pPr>
            <w:r/>
            <w:r>
              <w:rPr>
                <w:rFonts w:ascii="Georgia" w:hAnsi="Georgia"/>
                <w:sz w:val="18"/>
              </w:rPr>
              <w:t>Out of scope</w:t>
            </w:r>
          </w:p>
        </w:tc>
      </w:tr>
      <w:tr>
        <w:tc>
          <w:tcPr>
            <w:tcW w:type="dxa" w:w="4628"/>
            <w:tcBorders>
              <w:bottom w:val="single" w:sz="6" w:space="4" w:color="D8DCE3"/>
            </w:tcBorders>
          </w:tcPr>
          <w:p>
            <w:pPr>
              <w:spacing w:after="60"/>
            </w:pPr>
            <w:r/>
            <w:r>
              <w:rPr>
                <w:rFonts w:ascii="Georgia" w:hAnsi="Georgia"/>
                <w:sz w:val="18"/>
              </w:rPr>
              <w:t>Grade</w:t>
            </w:r>
          </w:p>
        </w:tc>
        <w:tc>
          <w:tcPr>
            <w:tcW w:type="dxa" w:w="4387"/>
            <w:tcBorders>
              <w:bottom w:val="single" w:sz="6" w:space="4" w:color="D8DCE3"/>
            </w:tcBorders>
          </w:tcPr>
          <w:p>
            <w:pPr>
              <w:spacing w:after="60"/>
            </w:pPr>
            <w:r/>
            <w:r>
              <w:rPr>
                <w:rFonts w:ascii="Georgia" w:hAnsi="Georgia"/>
                <w:sz w:val="18"/>
              </w:rPr>
              <w:t>Score</w:t>
            </w:r>
          </w:p>
        </w:tc>
      </w:tr>
      <w:tr>
        <w:tc>
          <w:tcPr>
            <w:tcW w:type="dxa" w:w="4628"/>
            <w:tcBorders>
              <w:bottom w:val="single" w:sz="6" w:space="4" w:color="D8DCE3"/>
            </w:tcBorders>
          </w:tcPr>
          <w:p>
            <w:pPr>
              <w:spacing w:after="60"/>
            </w:pPr>
            <w:r/>
            <w:r>
              <w:rPr>
                <w:rFonts w:ascii="Georgia" w:hAnsi="Georgia"/>
                <w:sz w:val="18"/>
              </w:rPr>
              <w:t>State</w:t>
            </w:r>
          </w:p>
        </w:tc>
        <w:tc>
          <w:tcPr>
            <w:tcW w:type="dxa" w:w="4387"/>
            <w:tcBorders>
              <w:bottom w:val="single" w:sz="6" w:space="4" w:color="D8DCE3"/>
            </w:tcBorders>
          </w:tcPr>
          <w:p>
            <w:pPr>
              <w:spacing w:after="60"/>
            </w:pPr>
            <w:r/>
            <w:r>
              <w:rPr>
                <w:rFonts w:ascii="Georgia" w:hAnsi="Georgia"/>
                <w:sz w:val="18"/>
              </w:rPr>
              <w:t>Threshold</w:t>
            </w:r>
          </w:p>
        </w:tc>
      </w:tr>
      <w:tr>
        <w:tc>
          <w:tcPr>
            <w:tcW w:type="dxa" w:w="4628"/>
            <w:tcBorders>
              <w:bottom w:val="single" w:sz="6" w:space="4" w:color="D8DCE3"/>
            </w:tcBorders>
          </w:tcPr>
          <w:p>
            <w:pPr>
              <w:spacing w:after="60"/>
            </w:pPr>
            <w:r/>
            <w:r>
              <w:rPr>
                <w:rFonts w:ascii="Georgia" w:hAnsi="Georgia"/>
                <w:sz w:val="18"/>
              </w:rPr>
              <w:t>Assumption</w:t>
            </w:r>
          </w:p>
        </w:tc>
        <w:tc>
          <w:tcPr>
            <w:tcW w:type="dxa" w:w="4387"/>
            <w:tcBorders>
              <w:bottom w:val="single" w:sz="6" w:space="4" w:color="D8DCE3"/>
            </w:tcBorders>
          </w:tcPr>
          <w:p>
            <w:pPr>
              <w:spacing w:after="60"/>
            </w:pPr>
            <w:r/>
            <w:r>
              <w:rPr>
                <w:rFonts w:ascii="Georgia" w:hAnsi="Georgia"/>
                <w:sz w:val="18"/>
              </w:rPr>
              <w:t>Open question, risk</w:t>
            </w:r>
          </w:p>
        </w:tc>
      </w:tr>
      <w:tr>
        <w:tc>
          <w:tcPr>
            <w:tcW w:type="dxa" w:w="4628"/>
            <w:tcBorders>
              <w:bottom w:val="single" w:sz="6" w:space="4" w:color="D8DCE3"/>
            </w:tcBorders>
          </w:tcPr>
          <w:p>
            <w:pPr>
              <w:spacing w:after="60"/>
            </w:pPr>
            <w:r/>
            <w:r>
              <w:rPr>
                <w:rFonts w:ascii="Georgia" w:hAnsi="Georgia"/>
                <w:sz w:val="18"/>
              </w:rPr>
              <w:t>Candidate architecture decision</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Section</w:t>
            </w:r>
          </w:p>
        </w:tc>
        <w:tc>
          <w:tcPr>
            <w:tcW w:type="dxa" w:w="4387"/>
            <w:tcBorders>
              <w:bottom w:val="single" w:sz="6" w:space="4" w:color="D8DCE3"/>
            </w:tcBorders>
          </w:tcPr>
          <w:p>
            <w:pPr>
              <w:spacing w:after="60"/>
            </w:pPr>
            <w:r/>
            <w:r>
              <w:rPr>
                <w:rFonts w:ascii="Georgia" w:hAnsi="Georgia"/>
                <w:sz w:val="18"/>
              </w:rPr>
              <w:t>A file number</w:t>
            </w:r>
          </w:p>
        </w:tc>
      </w:tr>
      <w:tr>
        <w:tc>
          <w:tcPr>
            <w:tcW w:type="dxa" w:w="4628"/>
            <w:tcBorders>
              <w:bottom w:val="single" w:sz="6" w:space="4" w:color="D8DCE3"/>
            </w:tcBorders>
          </w:tcPr>
          <w:p>
            <w:pPr>
              <w:spacing w:after="60"/>
            </w:pPr>
            <w:r/>
            <w:r>
              <w:rPr>
                <w:rFonts w:ascii="Georgia" w:hAnsi="Georgia"/>
                <w:sz w:val="18"/>
              </w:rPr>
              <w:t>Machine-readable form</w:t>
            </w:r>
          </w:p>
        </w:tc>
        <w:tc>
          <w:tcPr>
            <w:tcW w:type="dxa" w:w="4387"/>
            <w:tcBorders>
              <w:bottom w:val="single" w:sz="6" w:space="4" w:color="D8DCE3"/>
            </w:tcBorders>
          </w:tcPr>
          <w:p>
            <w:pPr>
              <w:spacing w:after="60"/>
            </w:pPr>
            <w:r/>
            <w:r>
              <w:rPr>
                <w:rFonts w:ascii="Georgia" w:hAnsi="Georgia"/>
                <w:sz w:val="18"/>
              </w:rPr>
              <w:t>A storage format</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 golden thread, blocking defect and score —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directory of documents that together are one PRD: an index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prefixed 01 to 16, against fifteen section numbers.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file number. The file prefix and the section number differ from section 5 onward; cross-references in this set are by section number.</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machine-readable form</w:t>
            </w:r>
          </w:p>
        </w:tc>
      </w:tr>
    </w:tbl>
    <w:p>
      <w:pPr>
        <w:spacing w:after="40"/>
      </w:pPr>
    </w:p>
    <w:p>
      <w:pPr>
        <w:keepNext/>
        <w:spacing w:before="220" w:after="60"/>
        <w:ind w:left="115"/>
        <w:pBdr>
          <w:left w:val="single" w:sz="18" w:space="0" w:color="1F4E79"/>
        </w:pBdr>
      </w:pPr>
      <w:r>
        <w:rPr>
          <w:rFonts w:ascii="Calibri" w:hAnsi="Calibri"/>
          <w:b/>
          <w:sz w:val="20"/>
        </w:rPr>
        <w:t>Machine-readable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tool reads: the structured record of its items, each with its id, its fields and its links to other sections. Every item in it has a counterpart in the readable form, and the two disagree when an item's id, priority or link differs between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readable form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storage format. It says what is recorded, not how or where.</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(approved). A section reaches </w:t>
            </w:r>
            <w:r>
              <w:rPr>
                <w:rFonts w:ascii="Consolas" w:hAnsi="Consolas"/>
                <w:sz w:val="19"/>
              </w:rPr>
              <w:t>review</w:t>
            </w:r>
            <w:r>
              <w:rPr>
                <w:rFonts w:ascii="Georgia" w:hAnsi="Georgia"/>
                <w:sz w:val="19"/>
              </w:rPr>
              <w:t xml:space="preserve"> at a score of 70 or more with no blocking defects, and </w:t>
            </w:r>
            <w:r>
              <w:rPr>
                <w:rFonts w:ascii="Consolas" w:hAnsi="Consolas"/>
                <w:sz w:val="19"/>
              </w:rPr>
              <w:t>final</w:t>
            </w:r>
            <w:r>
              <w:rPr>
                <w:rFonts w:ascii="Georgia" w:hAnsi="Georgia"/>
                <w:sz w:val="19"/>
              </w:rPr>
              <w:t xml:space="preserve"> only with an approval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text sketch of one screen a person works in or one report a person reads, drawn in characters and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0.2.0 —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29"/>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0.4.0,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