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with no product management training, can reach a PRD that an engineering lead confirms is buildable, and can see for themselves where it is still weak before anyone starts work.</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Domain experts who must specify software for their own field</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so the team that has to build it cannot.</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Domain experts specifying software for their own field, the engineering leads who build from what they write, and the sponsors who approve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Teams now expect to work from a written specification an assistant helped produce, and a specification that reads well but cannot be built from costs more than no specification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with no product management training, can reach a PRD that an engineering lead confirms is buildable, and can see for themselves where it is still weak before anyone starts work.</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Share of PRDs that pass an engineering buildability review on the first submission: 80% by 2027-09-30, from a baseline Q-001 will establish.</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2"/>
        <w:gridCol w:w="3429"/>
        <w:gridCol w:w="1282"/>
        <w:gridCol w:w="1348"/>
        <w:gridCol w:w="1413"/>
      </w:tblGrid>
      <w:tr>
        <w:tc>
          <w:tcPr>
            <w:tcW w:type="dxa" w:w="1023"/>
            <w:tcBorders>
              <w:bottom w:val="single" w:sz="12" w:space="4" w:color="16181D"/>
            </w:tcBorders>
          </w:tcPr>
          <w:p>
            <w:pPr>
              <w:spacing w:after="60"/>
            </w:pPr>
            <w:r/>
            <w:r>
              <w:rPr>
                <w:rFonts w:ascii="Calibri" w:hAnsi="Calibri"/>
                <w:b/>
                <w:caps/>
                <w:color w:val="5C6370"/>
                <w:sz w:val="15"/>
              </w:rPr>
              <w:t>§</w:t>
            </w:r>
          </w:p>
        </w:tc>
        <w:tc>
          <w:tcPr>
            <w:tcW w:type="dxa" w:w="3429"/>
            <w:tcBorders>
              <w:bottom w:val="single" w:sz="12" w:space="4" w:color="16181D"/>
            </w:tcBorders>
          </w:tcPr>
          <w:p>
            <w:pPr>
              <w:spacing w:after="60"/>
            </w:pPr>
            <w:r/>
            <w:r>
              <w:rPr>
                <w:rFonts w:ascii="Calibri" w:hAnsi="Calibri"/>
                <w:b/>
                <w:caps/>
                <w:color w:val="5C6370"/>
                <w:sz w:val="15"/>
              </w:rPr>
              <w:t>Section</w:t>
            </w:r>
          </w:p>
        </w:tc>
        <w:tc>
          <w:tcPr>
            <w:tcW w:type="dxa" w:w="1283"/>
            <w:tcBorders>
              <w:bottom w:val="single" w:sz="12" w:space="4" w:color="16181D"/>
            </w:tcBorders>
          </w:tcPr>
          <w:p>
            <w:pPr>
              <w:spacing w:after="60"/>
            </w:pPr>
            <w:r/>
            <w:r>
              <w:rPr>
                <w:rFonts w:ascii="Calibri" w:hAnsi="Calibri"/>
                <w:b/>
                <w:caps/>
                <w:color w:val="5C6370"/>
                <w:sz w:val="15"/>
              </w:rPr>
              <w:t>Status</w:t>
            </w:r>
          </w:p>
        </w:tc>
        <w:tc>
          <w:tcPr>
            <w:tcW w:type="dxa" w:w="1348"/>
            <w:tcBorders>
              <w:bottom w:val="single" w:sz="12" w:space="4" w:color="16181D"/>
            </w:tcBorders>
          </w:tcPr>
          <w:p>
            <w:pPr>
              <w:spacing w:after="60"/>
            </w:pPr>
            <w:r/>
            <w:r>
              <w:rPr>
                <w:rFonts w:ascii="Calibri" w:hAnsi="Calibri"/>
                <w:b/>
                <w:caps/>
                <w:color w:val="5C6370"/>
                <w:sz w:val="15"/>
              </w:rPr>
              <w:t>Grade</w:t>
            </w:r>
          </w:p>
        </w:tc>
        <w:tc>
          <w:tcPr>
            <w:tcW w:type="dxa" w:w="1413"/>
            <w:tcBorders>
              <w:bottom w:val="single" w:sz="12" w:space="4" w:color="16181D"/>
            </w:tcBorders>
          </w:tcPr>
          <w:p>
            <w:pPr>
              <w:spacing w:after="60"/>
            </w:pPr>
            <w:r/>
            <w:r>
              <w:rPr>
                <w:rFonts w:ascii="Calibri" w:hAnsi="Calibri"/>
                <w:b/>
                <w:caps/>
                <w:color w:val="5C6370"/>
                <w:sz w:val="15"/>
              </w:rPr>
              <w:t>Blocking</w:t>
            </w:r>
          </w:p>
        </w:tc>
      </w:tr>
      <w:tr>
        <w:tc>
          <w:tcPr>
            <w:tcW w:type="dxa" w:w="1023"/>
            <w:tcBorders>
              <w:bottom w:val="single" w:sz="6" w:space="4" w:color="D8DCE3"/>
            </w:tcBorders>
          </w:tcPr>
          <w:p>
            <w:pPr>
              <w:spacing w:after="60"/>
            </w:pPr>
            <w:r/>
            <w:r>
              <w:rPr>
                <w:rFonts w:ascii="Georgia" w:hAnsi="Georgia"/>
                <w:sz w:val="18"/>
              </w:rPr>
              <w:t>1</w:t>
            </w:r>
          </w:p>
        </w:tc>
        <w:tc>
          <w:tcPr>
            <w:tcW w:type="dxa" w:w="3429"/>
            <w:tcBorders>
              <w:bottom w:val="single" w:sz="6" w:space="4" w:color="D8DCE3"/>
            </w:tcBorders>
          </w:tcPr>
          <w:p>
            <w:pPr>
              <w:spacing w:after="60"/>
            </w:pPr>
            <w:r/>
            <w:r>
              <w:rPr>
                <w:rFonts w:ascii="Georgia" w:hAnsi="Georgia"/>
                <w:sz w:val="18"/>
              </w:rPr>
              <w:t>Problem and opportunity</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71/100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2</w:t>
            </w:r>
          </w:p>
        </w:tc>
        <w:tc>
          <w:tcPr>
            <w:tcW w:type="dxa" w:w="3429"/>
            <w:tcBorders>
              <w:bottom w:val="single" w:sz="6" w:space="4" w:color="D8DCE3"/>
            </w:tcBorders>
          </w:tcPr>
          <w:p>
            <w:pPr>
              <w:spacing w:after="60"/>
            </w:pPr>
            <w:r/>
            <w:r>
              <w:rPr>
                <w:rFonts w:ascii="Georgia" w:hAnsi="Georgia"/>
                <w:sz w:val="18"/>
              </w:rPr>
              <w:t>Target customer and market</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55/100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3</w:t>
            </w:r>
          </w:p>
        </w:tc>
        <w:tc>
          <w:tcPr>
            <w:tcW w:type="dxa" w:w="3429"/>
            <w:tcBorders>
              <w:bottom w:val="single" w:sz="6" w:space="4" w:color="D8DCE3"/>
            </w:tcBorders>
          </w:tcPr>
          <w:p>
            <w:pPr>
              <w:spacing w:after="60"/>
            </w:pPr>
            <w:r/>
            <w:r>
              <w:rPr>
                <w:rFonts w:ascii="Georgia" w:hAnsi="Georgia"/>
                <w:sz w:val="18"/>
              </w:rPr>
              <w:t>Business objectives and success metrics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75/100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4</w:t>
            </w:r>
          </w:p>
        </w:tc>
        <w:tc>
          <w:tcPr>
            <w:tcW w:type="dxa" w:w="3429"/>
            <w:tcBorders>
              <w:bottom w:val="single" w:sz="6" w:space="4" w:color="D8DCE3"/>
            </w:tcBorders>
          </w:tcPr>
          <w:p>
            <w:pPr>
              <w:spacing w:after="60"/>
            </w:pPr>
            <w:r/>
            <w:r>
              <w:rPr>
                <w:rFonts w:ascii="Georgia" w:hAnsi="Georgia"/>
                <w:sz w:val="18"/>
              </w:rPr>
              <w:t>Users and personas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68/100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5</w:t>
            </w:r>
          </w:p>
        </w:tc>
        <w:tc>
          <w:tcPr>
            <w:tcW w:type="dxa" w:w="3429"/>
            <w:tcBorders>
              <w:bottom w:val="single" w:sz="6" w:space="4" w:color="D8DCE3"/>
            </w:tcBorders>
          </w:tcPr>
          <w:p>
            <w:pPr>
              <w:spacing w:after="60"/>
            </w:pPr>
            <w:r/>
            <w:r>
              <w:rPr>
                <w:rFonts w:ascii="Georgia" w:hAnsi="Georgia"/>
                <w:sz w:val="18"/>
              </w:rPr>
              <w:t>User journeys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77/100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5</w:t>
            </w:r>
          </w:p>
        </w:tc>
        <w:tc>
          <w:tcPr>
            <w:tcW w:type="dxa" w:w="3429"/>
            <w:tcBorders>
              <w:bottom w:val="single" w:sz="6" w:space="4" w:color="D8DCE3"/>
            </w:tcBorders>
          </w:tcPr>
          <w:p>
            <w:pPr>
              <w:spacing w:after="60"/>
            </w:pPr>
            <w:r/>
            <w:r>
              <w:rPr>
                <w:rFonts w:ascii="Georgia" w:hAnsi="Georgia"/>
                <w:sz w:val="18"/>
              </w:rPr>
              <w:t>Scenarios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6</w:t>
            </w:r>
          </w:p>
        </w:tc>
        <w:tc>
          <w:tcPr>
            <w:tcW w:type="dxa" w:w="3429"/>
            <w:tcBorders>
              <w:bottom w:val="single" w:sz="6" w:space="4" w:color="D8DCE3"/>
            </w:tcBorders>
          </w:tcPr>
          <w:p>
            <w:pPr>
              <w:spacing w:after="60"/>
            </w:pPr>
            <w:r/>
            <w:r>
              <w:rPr>
                <w:rFonts w:ascii="Georgia" w:hAnsi="Georgia"/>
                <w:sz w:val="18"/>
              </w:rPr>
              <w:t>Scope</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79/100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7</w:t>
            </w:r>
          </w:p>
        </w:tc>
        <w:tc>
          <w:tcPr>
            <w:tcW w:type="dxa" w:w="3429"/>
            <w:tcBorders>
              <w:bottom w:val="single" w:sz="6" w:space="4" w:color="D8DCE3"/>
            </w:tcBorders>
          </w:tcPr>
          <w:p>
            <w:pPr>
              <w:spacing w:after="60"/>
            </w:pPr>
            <w:r/>
            <w:r>
              <w:rPr>
                <w:rFonts w:ascii="Georgia" w:hAnsi="Georgia"/>
                <w:sz w:val="18"/>
              </w:rPr>
              <w:t>Functional requirements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81/100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7</w:t>
            </w:r>
          </w:p>
        </w:tc>
        <w:tc>
          <w:tcPr>
            <w:tcW w:type="dxa" w:w="3429"/>
            <w:tcBorders>
              <w:bottom w:val="single" w:sz="6" w:space="4" w:color="D8DCE3"/>
            </w:tcBorders>
          </w:tcPr>
          <w:p>
            <w:pPr>
              <w:spacing w:after="60"/>
            </w:pPr>
            <w:r/>
            <w:r>
              <w:rPr>
                <w:rFonts w:ascii="Georgia" w:hAnsi="Georgia"/>
                <w:sz w:val="18"/>
              </w:rPr>
              <w:t>Wireframes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84/100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8</w:t>
            </w:r>
          </w:p>
        </w:tc>
        <w:tc>
          <w:tcPr>
            <w:tcW w:type="dxa" w:w="3429"/>
            <w:tcBorders>
              <w:bottom w:val="single" w:sz="6" w:space="4" w:color="D8DCE3"/>
            </w:tcBorders>
          </w:tcPr>
          <w:p>
            <w:pPr>
              <w:spacing w:after="60"/>
            </w:pPr>
            <w:r/>
            <w:r>
              <w:rPr>
                <w:rFonts w:ascii="Georgia" w:hAnsi="Georgia"/>
                <w:sz w:val="18"/>
              </w:rPr>
              <w:t>Non-functional requirements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82/100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9</w:t>
            </w:r>
          </w:p>
        </w:tc>
        <w:tc>
          <w:tcPr>
            <w:tcW w:type="dxa" w:w="3429"/>
            <w:tcBorders>
              <w:bottom w:val="single" w:sz="6" w:space="4" w:color="D8DCE3"/>
            </w:tcBorders>
          </w:tcPr>
          <w:p>
            <w:pPr>
              <w:spacing w:after="60"/>
            </w:pPr>
            <w:r/>
            <w:r>
              <w:rPr>
                <w:rFonts w:ascii="Georgia" w:hAnsi="Georgia"/>
                <w:sz w:val="18"/>
              </w:rPr>
              <w:t>Constraints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100/100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10</w:t>
            </w:r>
          </w:p>
        </w:tc>
        <w:tc>
          <w:tcPr>
            <w:tcW w:type="dxa" w:w="3429"/>
            <w:tcBorders>
              <w:bottom w:val="single" w:sz="6" w:space="4" w:color="D8DCE3"/>
            </w:tcBorders>
          </w:tcPr>
          <w:p>
            <w:pPr>
              <w:spacing w:after="60"/>
            </w:pPr>
            <w:r/>
            <w:r>
              <w:rPr>
                <w:rFonts w:ascii="Georgia" w:hAnsi="Georgia"/>
                <w:sz w:val="18"/>
              </w:rPr>
              <w:t>Decision rights and trust rules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11</w:t>
            </w:r>
          </w:p>
        </w:tc>
        <w:tc>
          <w:tcPr>
            <w:tcW w:type="dxa" w:w="3429"/>
            <w:tcBorders>
              <w:bottom w:val="single" w:sz="6" w:space="4" w:color="D8DCE3"/>
            </w:tcBorders>
          </w:tcPr>
          <w:p>
            <w:pPr>
              <w:spacing w:after="60"/>
            </w:pPr>
            <w:r/>
            <w:r>
              <w:rPr>
                <w:rFonts w:ascii="Georgia" w:hAnsi="Georgia"/>
                <w:sz w:val="18"/>
              </w:rPr>
              <w:t>Assumptions, risks and dependencies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75/100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12</w:t>
            </w:r>
          </w:p>
        </w:tc>
        <w:tc>
          <w:tcPr>
            <w:tcW w:type="dxa" w:w="3429"/>
            <w:tcBorders>
              <w:bottom w:val="single" w:sz="6" w:space="4" w:color="D8DCE3"/>
            </w:tcBorders>
          </w:tcPr>
          <w:p>
            <w:pPr>
              <w:spacing w:after="60"/>
            </w:pPr>
            <w:r/>
            <w:r>
              <w:rPr>
                <w:rFonts w:ascii="Georgia" w:hAnsi="Georgia"/>
                <w:sz w:val="18"/>
              </w:rPr>
              <w:t>Open questions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79/100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13</w:t>
            </w:r>
          </w:p>
        </w:tc>
        <w:tc>
          <w:tcPr>
            <w:tcW w:type="dxa" w:w="3429"/>
            <w:tcBorders>
              <w:bottom w:val="single" w:sz="6" w:space="4" w:color="D8DCE3"/>
            </w:tcBorders>
          </w:tcPr>
          <w:p>
            <w:pPr>
              <w:spacing w:after="60"/>
            </w:pPr>
            <w:r/>
            <w:r>
              <w:rPr>
                <w:rFonts w:ascii="Georgia" w:hAnsi="Georgia"/>
                <w:sz w:val="18"/>
              </w:rPr>
              <w:t>Release plan</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14</w:t>
            </w:r>
          </w:p>
        </w:tc>
        <w:tc>
          <w:tcPr>
            <w:tcW w:type="dxa" w:w="3429"/>
            <w:tcBorders>
              <w:bottom w:val="single" w:sz="6" w:space="4" w:color="D8DCE3"/>
            </w:tcBorders>
          </w:tcPr>
          <w:p>
            <w:pPr>
              <w:spacing w:after="60"/>
            </w:pPr>
            <w:r/>
            <w:r>
              <w:rPr>
                <w:rFonts w:ascii="Georgia" w:hAnsi="Georgia"/>
                <w:sz w:val="18"/>
              </w:rPr>
              <w:t>Glossary</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55/100</w:t>
            </w:r>
          </w:p>
        </w:tc>
        <w:tc>
          <w:tcPr>
            <w:tcW w:type="dxa" w:w="1413"/>
            <w:tcBorders>
              <w:bottom w:val="single" w:sz="6" w:space="4" w:color="D8DCE3"/>
            </w:tcBorders>
          </w:tcPr>
          <w:p>
            <w:pPr>
              <w:spacing w:after="60"/>
            </w:pPr>
            <w:r/>
            <w:r>
              <w:rPr>
                <w:rFonts w:ascii="Georgia" w:hAnsi="Georgia"/>
                <w:sz w:val="18"/>
              </w:rPr>
              <w:t>2</w:t>
            </w:r>
          </w:p>
        </w:tc>
      </w:tr>
      <w:tr>
        <w:tc>
          <w:tcPr>
            <w:tcW w:type="dxa" w:w="1023"/>
            <w:tcBorders>
              <w:bottom w:val="single" w:sz="6" w:space="4" w:color="D8DCE3"/>
            </w:tcBorders>
          </w:tcPr>
          <w:p>
            <w:pPr>
              <w:spacing w:after="60"/>
            </w:pPr>
            <w:r/>
            <w:r>
              <w:rPr>
                <w:rFonts w:ascii="Georgia" w:hAnsi="Georgia"/>
                <w:sz w:val="18"/>
              </w:rPr>
              <w:t>15</w:t>
            </w:r>
          </w:p>
        </w:tc>
        <w:tc>
          <w:tcPr>
            <w:tcW w:type="dxa" w:w="3429"/>
            <w:tcBorders>
              <w:bottom w:val="single" w:sz="6" w:space="4" w:color="D8DCE3"/>
            </w:tcBorders>
          </w:tcPr>
          <w:p>
            <w:pPr>
              <w:spacing w:after="60"/>
            </w:pPr>
            <w:r/>
            <w:r>
              <w:rPr>
                <w:rFonts w:ascii="Georgia" w:hAnsi="Georgia"/>
                <w:sz w:val="18"/>
              </w:rPr>
              <w:t>Change log and approvals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79/100</w:t>
            </w:r>
          </w:p>
        </w:tc>
        <w:tc>
          <w:tcPr>
            <w:tcW w:type="dxa" w:w="1413"/>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so the team that has to build it cannot. The users are domain experts specifying software for their own field, the engineering leads who build from what they write, and the sponsors who approve it. Teams now expect to work from a written specification an assistant helped produce, and one that reads well but cannot be built from costs more than no specification at all, because it is believed. The bet is that a domain expert with no product management training can reach a PRD an engineering lead confirms is buildable, and can see for themselves where it is still weak before anyone starts work. We will know it worked from the share of PRDs that pass an engineering buildability review on the first submission.</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So from section 5 onward the file prefix and the section number differ — </w:t>
      </w:r>
      <w:r>
        <w:rPr>
          <w:rFonts w:ascii="Consolas" w:hAnsi="Consolas"/>
          <w:sz w:val="19"/>
        </w:rPr>
        <w:t>07-scope.md</w:t>
      </w:r>
      <w:r>
        <w:rPr>
          <w:rFonts w:ascii="Georgia" w:hAnsi="Georgia"/>
        </w:rPr>
        <w:t xml:space="preserve"> is section 6,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Writing it surfaced one real tension: the product is delivered inside an assistant the expert already uses, and naming that delivery mechanism in a requirement would fail test 5. It was recorded as constraint C-001 until 0.8.1. It is now the separate-application non-goal in section 6 and dependency D-001 in section 11, and the requirements in section 7 describe only what a person does and sees.</w:t>
      </w:r>
    </w:p>
    <w:p>
      <w:r>
        <w:rPr>
          <w:rFonts w:ascii="Georgia" w:hAnsi="Georgia"/>
        </w:rPr>
        <w:t>Grading it with its own adversarial reviewers found twelve blocking defects across four sections, and a buildability review found four failed derivability checks. Version 0.2.0 fixes them: every graded section is now at zero blocking defects, and nine of the eleven derivability checks pass. What that grading found, and what it changed, is in section 15.</w:t>
      </w:r>
    </w:p>
    <w:p>
      <w:r>
        <w:rPr>
          <w:rFonts w:ascii="Georgia" w:hAnsi="Georgia"/>
          <w:b/>
        </w:rPr>
        <w:t>On the scores in this set.</w:t>
      </w:r>
      <w:r>
        <w:rPr>
          <w:rFonts w:ascii="Georgia" w:hAnsi="Georgia"/>
        </w:rPr>
        <w:t xml:space="preserve"> Each graded section carries the score from its last grading pass, with the date. Sections 5, 7 and 8 were graded before the second round of corrections, and section 10 before its last two, so each score is the last one measured and not a reading of the words as they now stand. Treat them as a floor. A score never rises without a change to the document, and never rises without a grading pass; the two gaps here are in the other direction.</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59"/>
        <w:gridCol w:w="5295"/>
        <w:gridCol w:w="2286"/>
      </w:tblGrid>
      <w:tr>
        <w:tc>
          <w:tcPr>
            <w:tcW w:type="dxa" w:w="1260"/>
            <w:tcBorders>
              <w:bottom w:val="single" w:sz="12" w:space="4" w:color="16181D"/>
            </w:tcBorders>
          </w:tcPr>
          <w:p>
            <w:pPr>
              <w:spacing w:after="60"/>
            </w:pPr>
            <w:r/>
            <w:r>
              <w:rPr>
                <w:rFonts w:ascii="Calibri" w:hAnsi="Calibri"/>
                <w:b/>
                <w:caps/>
                <w:color w:val="5C6370"/>
                <w:sz w:val="15"/>
              </w:rPr>
              <w:t>ID</w:t>
            </w:r>
          </w:p>
        </w:tc>
        <w:tc>
          <w:tcPr>
            <w:tcW w:type="dxa" w:w="5295"/>
            <w:tcBorders>
              <w:bottom w:val="single" w:sz="12" w:space="4" w:color="16181D"/>
            </w:tcBorders>
          </w:tcPr>
          <w:p>
            <w:pPr>
              <w:spacing w:after="60"/>
            </w:pPr>
            <w:r/>
            <w:r>
              <w:rPr>
                <w:rFonts w:ascii="Calibri" w:hAnsi="Calibri"/>
                <w:b/>
                <w:caps/>
                <w:color w:val="5C6370"/>
                <w:sz w:val="15"/>
              </w:rPr>
              <w:t>Problem</w:t>
            </w:r>
          </w:p>
        </w:tc>
        <w:tc>
          <w:tcPr>
            <w:tcW w:type="dxa" w:w="2287"/>
            <w:tcBorders>
              <w:bottom w:val="single" w:sz="12" w:space="4" w:color="16181D"/>
            </w:tcBorders>
          </w:tcPr>
          <w:p>
            <w:pPr>
              <w:spacing w:after="60"/>
            </w:pPr>
            <w:r/>
            <w:r>
              <w:rPr>
                <w:rFonts w:ascii="Calibri" w:hAnsi="Calibri"/>
                <w:b/>
                <w:caps/>
                <w:color w:val="5C6370"/>
                <w:sz w:val="15"/>
              </w:rPr>
              <w:t>Who</w:t>
            </w:r>
          </w:p>
        </w:tc>
      </w:tr>
      <w:tr>
        <w:tc>
          <w:tcPr>
            <w:tcW w:type="dxa" w:w="1260"/>
            <w:tcBorders>
              <w:bottom w:val="single" w:sz="6" w:space="4" w:color="D8DCE3"/>
            </w:tcBorders>
          </w:tcPr>
          <w:p>
            <w:pPr>
              <w:spacing w:after="60"/>
            </w:pPr>
            <w:r/>
            <w:r>
              <w:rPr>
                <w:rFonts w:ascii="Georgia" w:hAnsi="Georgia"/>
                <w:sz w:val="18"/>
              </w:rPr>
              <w:t>P-001</w:t>
            </w:r>
          </w:p>
        </w:tc>
        <w:tc>
          <w:tcPr>
            <w:tcW w:type="dxa" w:w="529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287"/>
            <w:tcBorders>
              <w:bottom w:val="single" w:sz="6" w:space="4" w:color="D8DCE3"/>
            </w:tcBorders>
          </w:tcPr>
          <w:p>
            <w:pPr>
              <w:spacing w:after="60"/>
            </w:pPr>
            <w:r/>
            <w:r>
              <w:rPr>
                <w:rFonts w:ascii="Georgia" w:hAnsi="Georgia"/>
                <w:sz w:val="18"/>
              </w:rPr>
              <w:t>Domain expert</w:t>
            </w:r>
          </w:p>
        </w:tc>
      </w:tr>
      <w:tr>
        <w:tc>
          <w:tcPr>
            <w:tcW w:type="dxa" w:w="1260"/>
            <w:tcBorders>
              <w:bottom w:val="single" w:sz="6" w:space="4" w:color="D8DCE3"/>
            </w:tcBorders>
          </w:tcPr>
          <w:p>
            <w:pPr>
              <w:spacing w:after="60"/>
            </w:pPr>
            <w:r/>
            <w:r>
              <w:rPr>
                <w:rFonts w:ascii="Georgia" w:hAnsi="Georgia"/>
                <w:sz w:val="18"/>
              </w:rPr>
              <w:t>P-002</w:t>
            </w:r>
          </w:p>
        </w:tc>
        <w:tc>
          <w:tcPr>
            <w:tcW w:type="dxa" w:w="5295"/>
            <w:tcBorders>
              <w:bottom w:val="single" w:sz="6" w:space="4" w:color="D8DCE3"/>
            </w:tcBorders>
          </w:tcPr>
          <w:p>
            <w:pPr>
              <w:spacing w:after="60"/>
            </w:pPr>
            <w:r/>
            <w:r>
              <w:rPr>
                <w:rFonts w:ascii="Georgia" w:hAnsi="Georgia"/>
                <w:sz w:val="18"/>
              </w:rPr>
              <w:t>The steps between requirements are never written, so paths have gaps</w:t>
            </w:r>
          </w:p>
        </w:tc>
        <w:tc>
          <w:tcPr>
            <w:tcW w:type="dxa" w:w="2287"/>
            <w:tcBorders>
              <w:bottom w:val="single" w:sz="6" w:space="4" w:color="D8DCE3"/>
            </w:tcBorders>
          </w:tcPr>
          <w:p>
            <w:pPr>
              <w:spacing w:after="60"/>
            </w:pPr>
            <w:r/>
            <w:r>
              <w:rPr>
                <w:rFonts w:ascii="Georgia" w:hAnsi="Georgia"/>
                <w:sz w:val="18"/>
              </w:rPr>
              <w:t>Engineering lead</w:t>
            </w:r>
          </w:p>
        </w:tc>
      </w:tr>
      <w:tr>
        <w:tc>
          <w:tcPr>
            <w:tcW w:type="dxa" w:w="1260"/>
            <w:tcBorders>
              <w:bottom w:val="single" w:sz="6" w:space="4" w:color="D8DCE3"/>
            </w:tcBorders>
          </w:tcPr>
          <w:p>
            <w:pPr>
              <w:spacing w:after="60"/>
            </w:pPr>
            <w:r/>
            <w:r>
              <w:rPr>
                <w:rFonts w:ascii="Georgia" w:hAnsi="Georgia"/>
                <w:sz w:val="18"/>
              </w:rPr>
              <w:t>P-003</w:t>
            </w:r>
          </w:p>
        </w:tc>
        <w:tc>
          <w:tcPr>
            <w:tcW w:type="dxa" w:w="5295"/>
            <w:tcBorders>
              <w:bottom w:val="single" w:sz="6" w:space="4" w:color="D8DCE3"/>
            </w:tcBorders>
          </w:tcPr>
          <w:p>
            <w:pPr>
              <w:spacing w:after="60"/>
            </w:pPr>
            <w:r/>
            <w:r>
              <w:rPr>
                <w:rFonts w:ascii="Georgia" w:hAnsi="Georgia"/>
                <w:sz w:val="18"/>
              </w:rPr>
              <w:t>Buildability is invisible until the team starts building</w:t>
            </w:r>
          </w:p>
        </w:tc>
        <w:tc>
          <w:tcPr>
            <w:tcW w:type="dxa" w:w="2287"/>
            <w:tcBorders>
              <w:bottom w:val="single" w:sz="6" w:space="4" w:color="D8DCE3"/>
            </w:tcBorders>
          </w:tcPr>
          <w:p>
            <w:pPr>
              <w:spacing w:after="60"/>
            </w:pPr>
            <w:r/>
            <w:r>
              <w:rPr>
                <w:rFonts w:ascii="Georgia" w:hAnsi="Georgia"/>
                <w:sz w:val="18"/>
              </w:rPr>
              <w:t>Sponsor or approver</w:t>
            </w:r>
          </w:p>
        </w:tc>
      </w:tr>
      <w:tr>
        <w:tc>
          <w:tcPr>
            <w:tcW w:type="dxa" w:w="1260"/>
            <w:tcBorders>
              <w:bottom w:val="single" w:sz="6" w:space="4" w:color="D8DCE3"/>
            </w:tcBorders>
          </w:tcPr>
          <w:p>
            <w:pPr>
              <w:spacing w:after="60"/>
            </w:pPr>
            <w:r/>
            <w:r>
              <w:rPr>
                <w:rFonts w:ascii="Georgia" w:hAnsi="Georgia"/>
                <w:sz w:val="18"/>
              </w:rPr>
              <w:t>P-004</w:t>
            </w:r>
          </w:p>
        </w:tc>
        <w:tc>
          <w:tcPr>
            <w:tcW w:type="dxa" w:w="5295"/>
            <w:tcBorders>
              <w:bottom w:val="single" w:sz="6" w:space="4" w:color="D8DCE3"/>
            </w:tcBorders>
          </w:tcPr>
          <w:p>
            <w:pPr>
              <w:spacing w:after="60"/>
            </w:pPr>
            <w:r/>
            <w:r>
              <w:rPr>
                <w:rFonts w:ascii="Georgia" w:hAnsi="Georgia"/>
                <w:sz w:val="18"/>
              </w:rPr>
              <w:t>No source of PRD craft at the moment the expert needs it</w:t>
            </w:r>
          </w:p>
        </w:tc>
        <w:tc>
          <w:tcPr>
            <w:tcW w:type="dxa" w:w="2287"/>
            <w:tcBorders>
              <w:bottom w:val="single" w:sz="6" w:space="4" w:color="D8DCE3"/>
            </w:tcBorders>
          </w:tcPr>
          <w:p>
            <w:pPr>
              <w:spacing w:after="60"/>
            </w:pPr>
            <w:r/>
            <w:r>
              <w:rPr>
                <w:rFonts w:ascii="Georgia" w:hAnsi="Georgia"/>
                <w:sz w:val="18"/>
              </w:rPr>
              <w:t>Domain expert</w:t>
            </w:r>
          </w:p>
        </w:tc>
      </w:tr>
    </w:tbl>
    <w:p>
      <w:pPr>
        <w:spacing w:after="40"/>
      </w:pPr>
    </w:p>
    <w:p>
      <w:r>
        <w:rPr>
          <w:rFonts w:ascii="Georgia" w:hAnsi="Georgia"/>
        </w:rPr>
        <w:t>The four compound. P-004 means the expert does not know what good looks like; P-001 is what they produce as a result; P-002 is the specific gap that costs the most; and P-003 is why none of it is caught before it is expensive.</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Three of the objectives in section 3 still have no baseline. See Q-001, Q-002, and Q-003.</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adversarial grade found 2 of 14 functional requirements, FR-003 and FR-004, with no outcome a person could see. Both were fixed at version 0.2.0.', 'source': 'prd-forge repository, commits 5ba59cb (version 0.1.0) and 5d4d936 (version 0.2.0)', 'as_of': datetime.date(2026, 10, 26)}</w:t>
            </w:r>
          </w:p>
          <w:p>
            <w:pPr>
              <w:spacing w:after="40"/>
              <w:ind w:left="173"/>
            </w:pPr>
            <w:r>
              <w:rPr>
                <w:rFonts w:ascii="Georgia" w:hAnsi="Georgia"/>
                <w:sz w:val="19"/>
              </w:rPr>
              <w:t>• Specifications arriving at delivery teams are commonly feature lists; teams report re-deriving the user and the acceptance criteria themselves before they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Specifications are now commonly drafted with an assistant, which makes them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specification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'as_of': datetime.date(2026, 10, 23)}</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Teams are committing to outcomes per release, which needs a complete path through the product, not a complete list of features.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so a release ships features and no user can complete anything with them.</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or approver signing the specification off</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adversarial grade found 23 blocking defects in 8 of 18 documents.', 'source': 'prd-forge repository, commit 6f77bc0 (version 0.8.0)', 'as_of': datetime.date(2026, 10, 26)}</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Where the document was drafted with an assistant, readability is no longer any evidence at all of buildability.</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has nowhere to learn what a section of a PRD is for at the moment they are being asked to fill it in.</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'as_of': datetime.date(2026, 10, 26)}</w:t>
            </w:r>
          </w:p>
          <w:p>
            <w:pPr>
              <w:spacing w:after="40"/>
              <w:ind w:left="173"/>
            </w:pPr>
            <w:r>
              <w:rPr>
                <w:rFonts w:ascii="Georgia" w:hAnsi="Georgia"/>
                <w:sz w:val="19"/>
              </w:rPr>
              <w:t>• The craft exists in books and in experienced product managers, neither of which is available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Organisations are asking domain experts to specify directly, without routing the work through a product manager first.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organisation's specifications cannot be compared to one another or improved as a body of work.</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 · 55/100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28"/>
        <w:gridCol w:w="3724"/>
        <w:gridCol w:w="2167"/>
        <w:gridCol w:w="1648"/>
      </w:tblGrid>
      <w:tr>
        <w:tc>
          <w:tcPr>
            <w:tcW w:type="dxa" w:w="1129"/>
            <w:tcBorders>
              <w:bottom w:val="single" w:sz="12" w:space="4" w:color="16181D"/>
            </w:tcBorders>
          </w:tcPr>
          <w:p>
            <w:pPr>
              <w:spacing w:after="60"/>
            </w:pPr>
            <w:r/>
            <w:r>
              <w:rPr>
                <w:rFonts w:ascii="Calibri" w:hAnsi="Calibri"/>
                <w:b/>
                <w:caps/>
                <w:color w:val="5C6370"/>
                <w:sz w:val="15"/>
              </w:rPr>
              <w:t>ID</w:t>
            </w:r>
          </w:p>
        </w:tc>
        <w:tc>
          <w:tcPr>
            <w:tcW w:type="dxa" w:w="3725"/>
            <w:tcBorders>
              <w:bottom w:val="single" w:sz="12" w:space="4" w:color="16181D"/>
            </w:tcBorders>
          </w:tcPr>
          <w:p>
            <w:pPr>
              <w:spacing w:after="60"/>
            </w:pPr>
            <w:r/>
            <w:r>
              <w:rPr>
                <w:rFonts w:ascii="Calibri" w:hAnsi="Calibri"/>
                <w:b/>
                <w:caps/>
                <w:color w:val="5C6370"/>
                <w:sz w:val="15"/>
              </w:rPr>
              <w:t>Segment</w:t>
            </w:r>
          </w:p>
        </w:tc>
        <w:tc>
          <w:tcPr>
            <w:tcW w:type="dxa" w:w="2167"/>
            <w:tcBorders>
              <w:bottom w:val="single" w:sz="12" w:space="4" w:color="16181D"/>
            </w:tcBorders>
          </w:tcPr>
          <w:p>
            <w:pPr>
              <w:spacing w:after="60"/>
            </w:pPr>
            <w:r/>
            <w:r>
              <w:rPr>
                <w:rFonts w:ascii="Calibri" w:hAnsi="Calibri"/>
                <w:b/>
                <w:caps/>
                <w:color w:val="5C6370"/>
                <w:sz w:val="15"/>
              </w:rPr>
              <w:t>Buyer</w:t>
            </w:r>
          </w:p>
        </w:tc>
        <w:tc>
          <w:tcPr>
            <w:tcW w:type="dxa" w:w="1648"/>
            <w:tcBorders>
              <w:bottom w:val="single" w:sz="12" w:space="4" w:color="16181D"/>
            </w:tcBorders>
          </w:tcPr>
          <w:p>
            <w:pPr>
              <w:spacing w:after="60"/>
            </w:pPr>
            <w:r/>
            <w:r>
              <w:rPr>
                <w:rFonts w:ascii="Calibri" w:hAnsi="Calibri"/>
                <w:b/>
                <w:caps/>
                <w:color w:val="5C6370"/>
                <w:sz w:val="15"/>
              </w:rPr>
              <w:t>User</w:t>
            </w:r>
          </w:p>
        </w:tc>
      </w:tr>
      <w:tr>
        <w:tc>
          <w:tcPr>
            <w:tcW w:type="dxa" w:w="1129"/>
            <w:tcBorders>
              <w:bottom w:val="single" w:sz="6" w:space="4" w:color="D8DCE3"/>
            </w:tcBorders>
          </w:tcPr>
          <w:p>
            <w:pPr>
              <w:spacing w:after="60"/>
            </w:pPr>
            <w:r/>
            <w:r>
              <w:rPr>
                <w:rFonts w:ascii="Georgia" w:hAnsi="Georgia"/>
                <w:sz w:val="18"/>
              </w:rPr>
              <w:t>S-001</w:t>
            </w:r>
          </w:p>
        </w:tc>
        <w:tc>
          <w:tcPr>
            <w:tcW w:type="dxa" w:w="3725"/>
            <w:tcBorders>
              <w:bottom w:val="single" w:sz="6" w:space="4" w:color="D8DCE3"/>
            </w:tcBorders>
          </w:tcPr>
          <w:p>
            <w:pPr>
              <w:spacing w:after="60"/>
            </w:pPr>
            <w:r/>
            <w:r>
              <w:rPr>
                <w:rFonts w:ascii="Georgia" w:hAnsi="Georgia"/>
                <w:sz w:val="18"/>
              </w:rPr>
              <w:t>Consultancies specifying from client domain knowledge</w:t>
            </w:r>
          </w:p>
        </w:tc>
        <w:tc>
          <w:tcPr>
            <w:tcW w:type="dxa" w:w="2167"/>
            <w:tcBorders>
              <w:bottom w:val="single" w:sz="6" w:space="4" w:color="D8DCE3"/>
            </w:tcBorders>
          </w:tcPr>
          <w:p>
            <w:pPr>
              <w:spacing w:after="60"/>
            </w:pPr>
            <w:r/>
            <w:r>
              <w:rPr>
                <w:rFonts w:ascii="Georgia" w:hAnsi="Georgia"/>
                <w:sz w:val="18"/>
              </w:rPr>
              <w:t>Principal or practice lead</w:t>
            </w:r>
          </w:p>
        </w:tc>
        <w:tc>
          <w:tcPr>
            <w:tcW w:type="dxa" w:w="1648"/>
            <w:tcBorders>
              <w:bottom w:val="single" w:sz="6" w:space="4" w:color="D8DCE3"/>
            </w:tcBorders>
          </w:tcPr>
          <w:p>
            <w:pPr>
              <w:spacing w:after="60"/>
            </w:pPr>
            <w:r/>
            <w:r>
              <w:rPr>
                <w:rFonts w:ascii="Georgia" w:hAnsi="Georgia"/>
                <w:sz w:val="18"/>
              </w:rPr>
              <w:t>The consultant</w:t>
            </w:r>
          </w:p>
        </w:tc>
      </w:tr>
      <w:tr>
        <w:tc>
          <w:tcPr>
            <w:tcW w:type="dxa" w:w="1129"/>
            <w:tcBorders>
              <w:bottom w:val="single" w:sz="6" w:space="4" w:color="D8DCE3"/>
            </w:tcBorders>
          </w:tcPr>
          <w:p>
            <w:pPr>
              <w:spacing w:after="60"/>
            </w:pPr>
            <w:r/>
            <w:r>
              <w:rPr>
                <w:rFonts w:ascii="Georgia" w:hAnsi="Georgia"/>
                <w:sz w:val="18"/>
              </w:rPr>
              <w:t>S-002</w:t>
            </w:r>
          </w:p>
        </w:tc>
        <w:tc>
          <w:tcPr>
            <w:tcW w:type="dxa" w:w="3725"/>
            <w:tcBorders>
              <w:bottom w:val="single" w:sz="6" w:space="4" w:color="D8DCE3"/>
            </w:tcBorders>
          </w:tcPr>
          <w:p>
            <w:pPr>
              <w:spacing w:after="60"/>
            </w:pPr>
            <w:r/>
            <w:r>
              <w:rPr>
                <w:rFonts w:ascii="Georgia" w:hAnsi="Georgia"/>
                <w:sz w:val="18"/>
              </w:rPr>
              <w:t>Regulated-industry organisations where practitioners specify</w:t>
            </w:r>
          </w:p>
        </w:tc>
        <w:tc>
          <w:tcPr>
            <w:tcW w:type="dxa" w:w="2167"/>
            <w:tcBorders>
              <w:bottom w:val="single" w:sz="6" w:space="4" w:color="D8DCE3"/>
            </w:tcBorders>
          </w:tcPr>
          <w:p>
            <w:pPr>
              <w:spacing w:after="60"/>
            </w:pPr>
            <w:r/>
            <w:r>
              <w:rPr>
                <w:rFonts w:ascii="Georgia" w:hAnsi="Georgia"/>
                <w:sz w:val="18"/>
              </w:rPr>
              <w:t>Head of product or delivery</w:t>
            </w:r>
          </w:p>
        </w:tc>
        <w:tc>
          <w:tcPr>
            <w:tcW w:type="dxa" w:w="1648"/>
            <w:tcBorders>
              <w:bottom w:val="single" w:sz="6" w:space="4" w:color="D8DCE3"/>
            </w:tcBorders>
          </w:tcPr>
          <w:p>
            <w:pPr>
              <w:spacing w:after="60"/>
            </w:pPr>
            <w:r/>
            <w:r>
              <w:rPr>
                <w:rFonts w:ascii="Georgia" w:hAnsi="Georgia"/>
                <w:sz w:val="18"/>
              </w:rPr>
              <w:t>The practitioner</w:t>
            </w:r>
          </w:p>
        </w:tc>
      </w:tr>
    </w:tbl>
    <w:p>
      <w:pPr>
        <w:spacing w:after="40"/>
      </w:pPr>
    </w:p>
    <w:p>
      <w:r>
        <w:rPr>
          <w:rFonts w:ascii="Georgia" w:hAnsi="Georgia"/>
        </w:rPr>
        <w:t>Product teams entering a domain they do not know were segment S-003 until 0.8.1. They already employ the product skill and want the domain, which this product does not supply, so section 6 now records them as a non-goal for release 1. The id S-003 is not reused.</w:t>
      </w:r>
    </w:p>
    <w:p>
      <w:pPr>
        <w:pStyle w:val="Heading3"/>
      </w:pPr>
      <w:r>
        <w:t>Why we win</w:t>
      </w:r>
    </w:p>
    <w:p>
      <w:r>
        <w:rPr>
          <w:rFonts w:ascii="Georgia" w:hAnsi="Georgia"/>
        </w:rPr>
        <w:t>The expert can see, before anyone starts building, which parts of their own specification a development team will not be able to build from, and what to answer to fix it. No competitor above tells them that.</w:t>
      </w:r>
    </w:p>
    <w:p>
      <w:r>
        <w:rPr>
          <w:rFonts w:ascii="Georgia" w:hAnsi="Georgia"/>
          <w:b/>
        </w:rPr>
        <w:t>Honest weakness.</w:t>
      </w:r>
      <w:r>
        <w:rPr>
          <w:rFonts w:ascii="Georgia" w:hAnsi="Georgia"/>
        </w:rPr>
        <w:t xml:space="preserve"> Against a contracted product manager we have no quality edge, only availability and cost. A sceptical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specifications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Principal or practice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Consolas" w:hAnsi="Consolas"/>
                <w:sz w:val="19"/>
              </w:rPr>
              <w:t>&lt;count&gt;</w:t>
            </w:r>
            <w:r>
              <w:rPr>
                <w:rFonts w:ascii="Georgia" w:hAnsi="Georgia"/>
                <w:sz w:val="19"/>
              </w:rPr>
              <w:t xml:space="preserve"> firms, per </w:t>
            </w:r>
            <w:r>
              <w:rPr>
                <w:rFonts w:ascii="Consolas" w:hAnsi="Consolas"/>
                <w:sz w:val="19"/>
              </w:rPr>
              <w:t>&lt;a named register, with its year&gt;</w:t>
            </w:r>
            <w:r>
              <w:rPr>
                <w:rFonts w:ascii="Georgia" w:hAnsi="Georgia"/>
                <w:sz w:val="19"/>
              </w:rPr>
              <w:t>, 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organisations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 delivery lead, or head of transformation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plus the delivery lead who reviews what they write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After one engagement, each fact the expert could not supply is an open question with a named decider and a date, and the set holds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Fluency is the failure mode in P-003. After one engagement, the buyer holds a report, made before anyone has estimated, that names each release-line stage no requirement covers and quotes each requirement an engineer could not write a test from.</w:t>
            </w:r>
          </w:p>
        </w:tc>
      </w:tr>
    </w:tbl>
    <w:p>
      <w:pPr>
        <w:spacing w:after="40"/>
      </w:pPr>
    </w:p>
    <w:p>
      <w:pPr>
        <w:keepNext/>
        <w:spacing w:before="220" w:after="60"/>
        <w:ind w:left="115"/>
        <w:pBdr>
          <w:left w:val="single" w:sz="18" w:space="0" w:color="1F4E79"/>
        </w:pBdr>
      </w:pPr>
      <w:r>
        <w:rPr>
          <w:rFonts w:ascii="Calibri" w:hAnsi="Calibri"/>
          <w:b/>
          <w:sz w:val="20"/>
        </w:rPr>
        <w:t>Contracting a product manager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None on quality. The edge is availability and cost at the moment the expert is typing, and that the expert keeps the understanding afterwards rather than renting it.</w:t>
            </w:r>
          </w:p>
        </w:tc>
      </w:tr>
    </w:tbl>
    <w:p>
      <w:pPr>
        <w:spacing w:after="40"/>
      </w:pPr>
    </w:p>
    <w:p>
      <w:pPr>
        <w:keepNext/>
        <w:spacing w:before="220" w:after="60"/>
        <w:ind w:left="115"/>
        <w:pBdr>
          <w:left w:val="single" w:sz="18" w:space="0" w:color="1F4E79"/>
        </w:pBdr>
      </w:pPr>
      <w:r>
        <w:rPr>
          <w:rFonts w:ascii="Calibri" w:hAnsi="Calibri"/>
          <w:b/>
          <w:sz w:val="20"/>
        </w:rPr>
        <w:t>The status quo -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receives a set that names each release-line stage no requirement covers and holds each fact the expert could not supply as an open question with a named decider and a date,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0"/>
        <w:gridCol w:w="2102"/>
        <w:gridCol w:w="2807"/>
        <w:gridCol w:w="1396"/>
        <w:gridCol w:w="1128"/>
      </w:tblGrid>
      <w:tr>
        <w:tc>
          <w:tcPr>
            <w:tcW w:type="dxa" w:w="1061"/>
            <w:tcBorders>
              <w:bottom w:val="single" w:sz="12" w:space="4" w:color="16181D"/>
            </w:tcBorders>
          </w:tcPr>
          <w:p>
            <w:pPr>
              <w:spacing w:after="60"/>
            </w:pPr>
            <w:r/>
            <w:r>
              <w:rPr>
                <w:rFonts w:ascii="Calibri" w:hAnsi="Calibri"/>
                <w:b/>
                <w:caps/>
                <w:color w:val="5C6370"/>
                <w:sz w:val="15"/>
              </w:rPr>
              <w:t>ID</w:t>
            </w:r>
          </w:p>
        </w:tc>
        <w:tc>
          <w:tcPr>
            <w:tcW w:type="dxa" w:w="2102"/>
            <w:tcBorders>
              <w:bottom w:val="single" w:sz="12" w:space="4" w:color="16181D"/>
            </w:tcBorders>
          </w:tcPr>
          <w:p>
            <w:pPr>
              <w:spacing w:after="60"/>
            </w:pPr>
            <w:r/>
            <w:r>
              <w:rPr>
                <w:rFonts w:ascii="Calibri" w:hAnsi="Calibri"/>
                <w:b/>
                <w:caps/>
                <w:color w:val="5C6370"/>
                <w:sz w:val="15"/>
              </w:rPr>
              <w:t>Objective</w:t>
            </w:r>
          </w:p>
        </w:tc>
        <w:tc>
          <w:tcPr>
            <w:tcW w:type="dxa" w:w="2808"/>
            <w:tcBorders>
              <w:bottom w:val="single" w:sz="12" w:space="4" w:color="16181D"/>
            </w:tcBorders>
          </w:tcPr>
          <w:p>
            <w:pPr>
              <w:spacing w:after="60"/>
            </w:pPr>
            <w:r/>
            <w:r>
              <w:rPr>
                <w:rFonts w:ascii="Calibri" w:hAnsi="Calibri"/>
                <w:b/>
                <w:caps/>
                <w:color w:val="5C6370"/>
                <w:sz w:val="15"/>
              </w:rPr>
              <w:t>Metric</w:t>
            </w:r>
          </w:p>
        </w:tc>
        <w:tc>
          <w:tcPr>
            <w:tcW w:type="dxa" w:w="1397"/>
            <w:tcBorders>
              <w:bottom w:val="single" w:sz="12" w:space="4" w:color="16181D"/>
            </w:tcBorders>
          </w:tcPr>
          <w:p>
            <w:pPr>
              <w:spacing w:after="60"/>
            </w:pPr>
            <w:r/>
            <w:r>
              <w:rPr>
                <w:rFonts w:ascii="Calibri" w:hAnsi="Calibri"/>
                <w:b/>
                <w:caps/>
                <w:color w:val="5C6370"/>
                <w:sz w:val="15"/>
              </w:rPr>
              <w:t>Baseline</w:t>
            </w:r>
          </w:p>
        </w:tc>
        <w:tc>
          <w:tcPr>
            <w:tcW w:type="dxa" w:w="1128"/>
            <w:tcBorders>
              <w:bottom w:val="single" w:sz="12" w:space="4" w:color="16181D"/>
            </w:tcBorders>
          </w:tcPr>
          <w:p>
            <w:pPr>
              <w:spacing w:after="60"/>
            </w:pPr>
            <w:r/>
            <w:r>
              <w:rPr>
                <w:rFonts w:ascii="Calibri" w:hAnsi="Calibri"/>
                <w:b/>
                <w:caps/>
                <w:color w:val="5C6370"/>
                <w:sz w:val="15"/>
              </w:rPr>
              <w:t>Target</w:t>
            </w:r>
          </w:p>
        </w:tc>
      </w:tr>
      <w:tr>
        <w:tc>
          <w:tcPr>
            <w:tcW w:type="dxa" w:w="1061"/>
            <w:tcBorders>
              <w:bottom w:val="single" w:sz="6" w:space="4" w:color="D8DCE3"/>
            </w:tcBorders>
          </w:tcPr>
          <w:p>
            <w:pPr>
              <w:spacing w:after="60"/>
            </w:pPr>
            <w:r/>
            <w:r>
              <w:rPr>
                <w:rFonts w:ascii="Georgia" w:hAnsi="Georgia"/>
                <w:sz w:val="18"/>
              </w:rPr>
              <w:t>O-001</w:t>
            </w:r>
          </w:p>
        </w:tc>
        <w:tc>
          <w:tcPr>
            <w:tcW w:type="dxa" w:w="2102"/>
            <w:tcBorders>
              <w:bottom w:val="single" w:sz="6" w:space="4" w:color="D8DCE3"/>
            </w:tcBorders>
          </w:tcPr>
          <w:p>
            <w:pPr>
              <w:spacing w:after="60"/>
            </w:pPr>
            <w:r/>
            <w:r>
              <w:rPr>
                <w:rFonts w:ascii="Georgia" w:hAnsi="Georgia"/>
                <w:sz w:val="18"/>
              </w:rPr>
              <w:t>Buildable without re-derivation</w:t>
            </w:r>
          </w:p>
        </w:tc>
        <w:tc>
          <w:tcPr>
            <w:tcW w:type="dxa" w:w="2808"/>
            <w:tcBorders>
              <w:bottom w:val="single" w:sz="6" w:space="4" w:color="D8DCE3"/>
            </w:tcBorders>
          </w:tcPr>
          <w:p>
            <w:pPr>
              <w:spacing w:after="60"/>
            </w:pPr>
            <w:r/>
            <w:r>
              <w:rPr>
                <w:rFonts w:ascii="Georgia" w:hAnsi="Georgia"/>
                <w:sz w:val="18"/>
              </w:rPr>
              <w:t>Pass rate on first buildability review</w:t>
            </w:r>
          </w:p>
        </w:tc>
        <w:tc>
          <w:tcPr>
            <w:tcW w:type="dxa" w:w="1397"/>
            <w:tcBorders>
              <w:bottom w:val="single" w:sz="6" w:space="4" w:color="D8DCE3"/>
            </w:tcBorders>
          </w:tcPr>
          <w:p>
            <w:pPr>
              <w:spacing w:after="60"/>
            </w:pPr>
            <w:r/>
            <w:r>
              <w:rPr>
                <w:rFonts w:ascii="Georgia" w:hAnsi="Georgia"/>
                <w:sz w:val="18"/>
              </w:rPr>
              <w:t>unknown (Q-001)</w:t>
            </w:r>
          </w:p>
        </w:tc>
        <w:tc>
          <w:tcPr>
            <w:tcW w:type="dxa" w:w="1128"/>
            <w:tcBorders>
              <w:bottom w:val="single" w:sz="6" w:space="4" w:color="D8DCE3"/>
            </w:tcBorders>
          </w:tcPr>
          <w:p>
            <w:pPr>
              <w:spacing w:after="60"/>
            </w:pPr>
            <w:r/>
            <w:r>
              <w:rPr>
                <w:rFonts w:ascii="Georgia" w:hAnsi="Georgia"/>
                <w:sz w:val="18"/>
              </w:rPr>
              <w:t>80%</w:t>
            </w:r>
          </w:p>
        </w:tc>
      </w:tr>
      <w:tr>
        <w:tc>
          <w:tcPr>
            <w:tcW w:type="dxa" w:w="1061"/>
            <w:tcBorders>
              <w:bottom w:val="single" w:sz="6" w:space="4" w:color="D8DCE3"/>
            </w:tcBorders>
          </w:tcPr>
          <w:p>
            <w:pPr>
              <w:spacing w:after="60"/>
            </w:pPr>
            <w:r/>
            <w:r>
              <w:rPr>
                <w:rFonts w:ascii="Georgia" w:hAnsi="Georgia"/>
                <w:sz w:val="18"/>
              </w:rPr>
              <w:t>O-002</w:t>
            </w:r>
          </w:p>
        </w:tc>
        <w:tc>
          <w:tcPr>
            <w:tcW w:type="dxa" w:w="2102"/>
            <w:tcBorders>
              <w:bottom w:val="single" w:sz="6" w:space="4" w:color="D8DCE3"/>
            </w:tcBorders>
          </w:tcPr>
          <w:p>
            <w:pPr>
              <w:spacing w:after="60"/>
            </w:pPr>
            <w:r/>
            <w:r>
              <w:rPr>
                <w:rFonts w:ascii="Georgia" w:hAnsi="Georgia"/>
                <w:sz w:val="18"/>
              </w:rPr>
              <w:t>Days, not weeks, to an approved spec</w:t>
            </w:r>
          </w:p>
        </w:tc>
        <w:tc>
          <w:tcPr>
            <w:tcW w:type="dxa" w:w="2808"/>
            <w:tcBorders>
              <w:bottom w:val="single" w:sz="6" w:space="4" w:color="D8DCE3"/>
            </w:tcBorders>
          </w:tcPr>
          <w:p>
            <w:pPr>
              <w:spacing w:after="60"/>
            </w:pPr>
            <w:r/>
            <w:r>
              <w:rPr>
                <w:rFonts w:ascii="Georgia" w:hAnsi="Georgia"/>
                <w:sz w:val="18"/>
              </w:rPr>
              <w:t>Median working days, first question to approval</w:t>
            </w:r>
          </w:p>
        </w:tc>
        <w:tc>
          <w:tcPr>
            <w:tcW w:type="dxa" w:w="1397"/>
            <w:tcBorders>
              <w:bottom w:val="single" w:sz="6" w:space="4" w:color="D8DCE3"/>
            </w:tcBorders>
          </w:tcPr>
          <w:p>
            <w:pPr>
              <w:spacing w:after="60"/>
            </w:pPr>
            <w:r/>
            <w:r>
              <w:rPr>
                <w:rFonts w:ascii="Georgia" w:hAnsi="Georgia"/>
                <w:sz w:val="18"/>
              </w:rPr>
              <w:t>unknown (Q-002)</w:t>
            </w:r>
          </w:p>
        </w:tc>
        <w:tc>
          <w:tcPr>
            <w:tcW w:type="dxa" w:w="1128"/>
            <w:tcBorders>
              <w:bottom w:val="single" w:sz="6" w:space="4" w:color="D8DCE3"/>
            </w:tcBorders>
          </w:tcPr>
          <w:p>
            <w:pPr>
              <w:spacing w:after="60"/>
            </w:pPr>
            <w:r/>
            <w:r>
              <w:rPr>
                <w:rFonts w:ascii="Georgia" w:hAnsi="Georgia"/>
                <w:sz w:val="18"/>
              </w:rPr>
              <w:t>under 5</w:t>
            </w:r>
          </w:p>
        </w:tc>
      </w:tr>
      <w:tr>
        <w:tc>
          <w:tcPr>
            <w:tcW w:type="dxa" w:w="1061"/>
            <w:tcBorders>
              <w:bottom w:val="single" w:sz="6" w:space="4" w:color="D8DCE3"/>
            </w:tcBorders>
          </w:tcPr>
          <w:p>
            <w:pPr>
              <w:spacing w:after="60"/>
            </w:pPr>
            <w:r/>
            <w:r>
              <w:rPr>
                <w:rFonts w:ascii="Georgia" w:hAnsi="Georgia"/>
                <w:sz w:val="18"/>
              </w:rPr>
              <w:t>O-003</w:t>
            </w:r>
          </w:p>
        </w:tc>
        <w:tc>
          <w:tcPr>
            <w:tcW w:type="dxa" w:w="2102"/>
            <w:tcBorders>
              <w:bottom w:val="single" w:sz="6" w:space="4" w:color="D8DCE3"/>
            </w:tcBorders>
          </w:tcPr>
          <w:p>
            <w:pPr>
              <w:spacing w:after="60"/>
            </w:pPr>
            <w:r/>
            <w:r>
              <w:rPr>
                <w:rFonts w:ascii="Georgia" w:hAnsi="Georgia"/>
                <w:sz w:val="18"/>
              </w:rPr>
              <w:t>Requirements testable as written</w:t>
            </w:r>
          </w:p>
        </w:tc>
        <w:tc>
          <w:tcPr>
            <w:tcW w:type="dxa" w:w="2808"/>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97"/>
            <w:tcBorders>
              <w:bottom w:val="single" w:sz="6" w:space="4" w:color="D8DCE3"/>
            </w:tcBorders>
          </w:tcPr>
          <w:p>
            <w:pPr>
              <w:spacing w:after="60"/>
            </w:pPr>
            <w:r/>
            <w:r>
              <w:rPr>
                <w:rFonts w:ascii="Georgia" w:hAnsi="Georgia"/>
                <w:sz w:val="18"/>
              </w:rPr>
              <w:t>unknown (Q-003)</w:t>
            </w:r>
          </w:p>
        </w:tc>
        <w:tc>
          <w:tcPr>
            <w:tcW w:type="dxa" w:w="1128"/>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That is deliberate and it is the honest state: this product has not run against a real engagement yet. The targets above are therefore intentions, not commitments, and section 15 should record the moment each baseline arrives and each target is either confirmed or changed.</w:t>
      </w:r>
    </w:p>
    <w:p>
      <w:r>
        <w:rPr>
          <w:rFonts w:ascii="Georgia" w:hAnsi="Georgia"/>
        </w:rPr>
        <w:t>A reviewer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specification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PRDs that pass an engineering buildability review on first submission, where the review is the eleven derivability checks.</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 Do not set a target against this until Q-001 is answered.</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PRDs pass on first submission.</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domain expert reaches an approved specification in days rather than the weeks a product manager's discovery cycle takes.</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from the first interview question to an approval recorded in section 15.</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functional requirements whose acceptance criteria an engineer who was not in the interview judges sufficient to write a test.</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 · 68/100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3"/>
        <w:gridCol w:w="2381"/>
        <w:gridCol w:w="2009"/>
        <w:gridCol w:w="3125"/>
      </w:tblGrid>
      <w:tr>
        <w:tc>
          <w:tcPr>
            <w:tcW w:type="dxa" w:w="1153"/>
            <w:tcBorders>
              <w:bottom w:val="single" w:sz="12" w:space="4" w:color="16181D"/>
            </w:tcBorders>
          </w:tcPr>
          <w:p>
            <w:pPr>
              <w:spacing w:after="60"/>
            </w:pPr>
            <w:r/>
            <w:r>
              <w:rPr>
                <w:rFonts w:ascii="Calibri" w:hAnsi="Calibri"/>
                <w:b/>
                <w:caps/>
                <w:color w:val="5C6370"/>
                <w:sz w:val="15"/>
              </w:rPr>
              <w:t>ID</w:t>
            </w:r>
          </w:p>
        </w:tc>
        <w:tc>
          <w:tcPr>
            <w:tcW w:type="dxa" w:w="2381"/>
            <w:tcBorders>
              <w:bottom w:val="single" w:sz="12" w:space="4" w:color="16181D"/>
            </w:tcBorders>
          </w:tcPr>
          <w:p>
            <w:pPr>
              <w:spacing w:after="60"/>
            </w:pPr>
            <w:r/>
            <w:r>
              <w:rPr>
                <w:rFonts w:ascii="Calibri" w:hAnsi="Calibri"/>
                <w:b/>
                <w:caps/>
                <w:color w:val="5C6370"/>
                <w:sz w:val="15"/>
              </w:rPr>
              <w:t>Role</w:t>
            </w:r>
          </w:p>
        </w:tc>
        <w:tc>
          <w:tcPr>
            <w:tcW w:type="dxa" w:w="2009"/>
            <w:tcBorders>
              <w:bottom w:val="single" w:sz="12" w:space="4" w:color="16181D"/>
            </w:tcBorders>
          </w:tcPr>
          <w:p>
            <w:pPr>
              <w:spacing w:after="60"/>
            </w:pPr>
            <w:r/>
            <w:r>
              <w:rPr>
                <w:rFonts w:ascii="Calibri" w:hAnsi="Calibri"/>
                <w:b/>
                <w:caps/>
                <w:color w:val="5C6370"/>
                <w:sz w:val="15"/>
              </w:rPr>
              <w:t>Frequency</w:t>
            </w:r>
          </w:p>
        </w:tc>
        <w:tc>
          <w:tcPr>
            <w:tcW w:type="dxa" w:w="3125"/>
            <w:tcBorders>
              <w:bottom w:val="single" w:sz="12" w:space="4" w:color="16181D"/>
            </w:tcBorders>
          </w:tcPr>
          <w:p>
            <w:pPr>
              <w:spacing w:after="60"/>
            </w:pPr>
            <w:r/>
            <w:r>
              <w:rPr>
                <w:rFonts w:ascii="Calibri" w:hAnsi="Calibri"/>
                <w:b/>
                <w:caps/>
                <w:color w:val="5C6370"/>
                <w:sz w:val="15"/>
              </w:rPr>
              <w:t>May approve</w:t>
            </w:r>
          </w:p>
        </w:tc>
      </w:tr>
      <w:tr>
        <w:tc>
          <w:tcPr>
            <w:tcW w:type="dxa" w:w="1153"/>
            <w:tcBorders>
              <w:bottom w:val="single" w:sz="6" w:space="4" w:color="D8DCE3"/>
            </w:tcBorders>
          </w:tcPr>
          <w:p>
            <w:pPr>
              <w:spacing w:after="60"/>
            </w:pPr>
            <w:r/>
            <w:r>
              <w:rPr>
                <w:rFonts w:ascii="Georgia" w:hAnsi="Georgia"/>
                <w:sz w:val="18"/>
              </w:rPr>
              <w:t>PER-001</w:t>
            </w:r>
          </w:p>
        </w:tc>
        <w:tc>
          <w:tcPr>
            <w:tcW w:type="dxa" w:w="2381"/>
            <w:tcBorders>
              <w:bottom w:val="single" w:sz="6" w:space="4" w:color="D8DCE3"/>
            </w:tcBorders>
          </w:tcPr>
          <w:p>
            <w:pPr>
              <w:spacing w:after="60"/>
            </w:pPr>
            <w:r/>
            <w:r>
              <w:rPr>
                <w:rFonts w:ascii="Georgia" w:hAnsi="Georgia"/>
                <w:sz w:val="18"/>
              </w:rPr>
              <w:t>Domain expert specifying their own field</w:t>
            </w:r>
          </w:p>
        </w:tc>
        <w:tc>
          <w:tcPr>
            <w:tcW w:type="dxa" w:w="2009"/>
            <w:tcBorders>
              <w:bottom w:val="single" w:sz="6" w:space="4" w:color="D8DCE3"/>
            </w:tcBorders>
          </w:tcPr>
          <w:p>
            <w:pPr>
              <w:spacing w:after="60"/>
            </w:pPr>
            <w:r/>
            <w:r>
              <w:rPr>
                <w:rFonts w:ascii="Georgia" w:hAnsi="Georgia"/>
                <w:sz w:val="18"/>
              </w:rPr>
              <w:t>Weeks per product, then rarely</w:t>
            </w:r>
          </w:p>
        </w:tc>
        <w:tc>
          <w:tcPr>
            <w:tcW w:type="dxa" w:w="3125"/>
            <w:tcBorders>
              <w:bottom w:val="single" w:sz="6" w:space="4" w:color="D8DCE3"/>
            </w:tcBorders>
          </w:tcPr>
          <w:p>
            <w:pPr>
              <w:spacing w:after="60"/>
            </w:pPr>
            <w:r/>
            <w:r>
              <w:rPr>
                <w:rFonts w:ascii="Georgia" w:hAnsi="Georgia"/>
                <w:sz w:val="18"/>
              </w:rPr>
              <w:t>Scope, terms, drafts, section states, facts, and offering the set; not the PRD itself</w:t>
            </w:r>
          </w:p>
        </w:tc>
      </w:tr>
      <w:tr>
        <w:tc>
          <w:tcPr>
            <w:tcW w:type="dxa" w:w="1153"/>
            <w:tcBorders>
              <w:bottom w:val="single" w:sz="6" w:space="4" w:color="D8DCE3"/>
            </w:tcBorders>
          </w:tcPr>
          <w:p>
            <w:pPr>
              <w:spacing w:after="60"/>
            </w:pPr>
            <w:r/>
            <w:r>
              <w:rPr>
                <w:rFonts w:ascii="Georgia" w:hAnsi="Georgia"/>
                <w:sz w:val="18"/>
              </w:rPr>
              <w:t>PER-002</w:t>
            </w:r>
          </w:p>
        </w:tc>
        <w:tc>
          <w:tcPr>
            <w:tcW w:type="dxa" w:w="2381"/>
            <w:tcBorders>
              <w:bottom w:val="single" w:sz="6" w:space="4" w:color="D8DCE3"/>
            </w:tcBorders>
          </w:tcPr>
          <w:p>
            <w:pPr>
              <w:spacing w:after="60"/>
            </w:pPr>
            <w:r/>
            <w:r>
              <w:rPr>
                <w:rFonts w:ascii="Georgia" w:hAnsi="Georgia"/>
                <w:sz w:val="18"/>
              </w:rPr>
              <w:t>Engineering lead building from it</w:t>
            </w:r>
          </w:p>
        </w:tc>
        <w:tc>
          <w:tcPr>
            <w:tcW w:type="dxa" w:w="2009"/>
            <w:tcBorders>
              <w:bottom w:val="single" w:sz="6" w:space="4" w:color="D8DCE3"/>
            </w:tcBorders>
          </w:tcPr>
          <w:p>
            <w:pPr>
              <w:spacing w:after="60"/>
            </w:pPr>
            <w:r/>
            <w:r>
              <w:rPr>
                <w:rFonts w:ascii="Georgia" w:hAnsi="Georgia"/>
                <w:sz w:val="18"/>
              </w:rPr>
              <w:t>A handful of intensive reads</w:t>
            </w:r>
          </w:p>
        </w:tc>
        <w:tc>
          <w:tcPr>
            <w:tcW w:type="dxa" w:w="3125"/>
            <w:tcBorders>
              <w:bottom w:val="single" w:sz="6" w:space="4" w:color="D8DCE3"/>
            </w:tcBorders>
          </w:tcPr>
          <w:p>
            <w:pPr>
              <w:spacing w:after="60"/>
            </w:pPr>
            <w:r/>
            <w:r>
              <w:rPr>
                <w:rFonts w:ascii="Georgia" w:hAnsi="Georgia"/>
                <w:sz w:val="18"/>
              </w:rPr>
              <w:t>May reject as not buildable</w:t>
            </w:r>
          </w:p>
        </w:tc>
      </w:tr>
      <w:tr>
        <w:tc>
          <w:tcPr>
            <w:tcW w:type="dxa" w:w="1153"/>
            <w:tcBorders>
              <w:bottom w:val="single" w:sz="6" w:space="4" w:color="D8DCE3"/>
            </w:tcBorders>
          </w:tcPr>
          <w:p>
            <w:pPr>
              <w:spacing w:after="60"/>
            </w:pPr>
            <w:r/>
            <w:r>
              <w:rPr>
                <w:rFonts w:ascii="Georgia" w:hAnsi="Georgia"/>
                <w:sz w:val="18"/>
              </w:rPr>
              <w:t>PER-003</w:t>
            </w:r>
          </w:p>
        </w:tc>
        <w:tc>
          <w:tcPr>
            <w:tcW w:type="dxa" w:w="2381"/>
            <w:tcBorders>
              <w:bottom w:val="single" w:sz="6" w:space="4" w:color="D8DCE3"/>
            </w:tcBorders>
          </w:tcPr>
          <w:p>
            <w:pPr>
              <w:spacing w:after="60"/>
            </w:pPr>
            <w:r/>
            <w:r>
              <w:rPr>
                <w:rFonts w:ascii="Georgia" w:hAnsi="Georgia"/>
                <w:sz w:val="18"/>
              </w:rPr>
              <w:t>Sponsor or approver</w:t>
            </w:r>
          </w:p>
        </w:tc>
        <w:tc>
          <w:tcPr>
            <w:tcW w:type="dxa" w:w="2009"/>
            <w:tcBorders>
              <w:bottom w:val="single" w:sz="6" w:space="4" w:color="D8DCE3"/>
            </w:tcBorders>
          </w:tcPr>
          <w:p>
            <w:pPr>
              <w:spacing w:after="60"/>
            </w:pPr>
            <w:r/>
            <w:r>
              <w:rPr>
                <w:rFonts w:ascii="Georgia" w:hAnsi="Georgia"/>
                <w:sz w:val="18"/>
              </w:rPr>
              <w:t>Once per version</w:t>
            </w:r>
          </w:p>
        </w:tc>
        <w:tc>
          <w:tcPr>
            <w:tcW w:type="dxa" w:w="3125"/>
            <w:tcBorders>
              <w:bottom w:val="single" w:sz="6" w:space="4" w:color="D8DCE3"/>
            </w:tcBorders>
          </w:tcPr>
          <w:p>
            <w:pPr>
              <w:spacing w:after="60"/>
            </w:pPr>
            <w:r/>
            <w:r>
              <w:rPr>
                <w:rFonts w:ascii="Georgia" w:hAnsi="Georgia"/>
                <w:sz w:val="18"/>
              </w:rPr>
              <w:t>The PRD for a release</w:t>
            </w:r>
          </w:p>
        </w:tc>
      </w:tr>
      <w:tr>
        <w:tc>
          <w:tcPr>
            <w:tcW w:type="dxa" w:w="1153"/>
            <w:tcBorders>
              <w:bottom w:val="single" w:sz="6" w:space="4" w:color="D8DCE3"/>
            </w:tcBorders>
          </w:tcPr>
          <w:p>
            <w:pPr>
              <w:spacing w:after="60"/>
            </w:pPr>
            <w:r/>
            <w:r>
              <w:rPr>
                <w:rFonts w:ascii="Georgia" w:hAnsi="Georgia"/>
                <w:sz w:val="18"/>
              </w:rPr>
              <w:t>PER-004</w:t>
            </w:r>
          </w:p>
        </w:tc>
        <w:tc>
          <w:tcPr>
            <w:tcW w:type="dxa" w:w="2381"/>
            <w:tcBorders>
              <w:bottom w:val="single" w:sz="6" w:space="4" w:color="D8DCE3"/>
            </w:tcBorders>
          </w:tcPr>
          <w:p>
            <w:pPr>
              <w:spacing w:after="60"/>
            </w:pPr>
            <w:r/>
            <w:r>
              <w:rPr>
                <w:rFonts w:ascii="Georgia" w:hAnsi="Georgia"/>
                <w:sz w:val="18"/>
              </w:rPr>
              <w:t>Delivery lead running story mapping</w:t>
            </w:r>
          </w:p>
        </w:tc>
        <w:tc>
          <w:tcPr>
            <w:tcW w:type="dxa" w:w="2009"/>
            <w:tcBorders>
              <w:bottom w:val="single" w:sz="6" w:space="4" w:color="D8DCE3"/>
            </w:tcBorders>
          </w:tcPr>
          <w:p>
            <w:pPr>
              <w:spacing w:after="60"/>
            </w:pPr>
            <w:r/>
            <w:r>
              <w:rPr>
                <w:rFonts w:ascii="Georgia" w:hAnsi="Georgia"/>
                <w:sz w:val="18"/>
              </w:rPr>
              <w:t>Once per release</w:t>
            </w:r>
          </w:p>
        </w:tc>
        <w:tc>
          <w:tcPr>
            <w:tcW w:type="dxa" w:w="3125"/>
            <w:tcBorders>
              <w:bottom w:val="single" w:sz="6" w:space="4" w:color="D8DCE3"/>
            </w:tcBorders>
          </w:tcPr>
          <w:p>
            <w:pPr>
              <w:spacing w:after="60"/>
            </w:pPr>
            <w:r/>
            <w:r>
              <w:rPr>
                <w:rFonts w:ascii="Georgia" w:hAnsi="Georgia"/>
                <w:sz w:val="18"/>
              </w:rPr>
              <w:t>Backlog shape and order</w:t>
            </w:r>
          </w:p>
        </w:tc>
      </w:tr>
    </w:tbl>
    <w:p>
      <w:pPr>
        <w:spacing w:after="40"/>
      </w:pPr>
    </w:p>
    <w:p>
      <w:pPr>
        <w:pStyle w:val="Heading3"/>
      </w:pPr>
      <w:r>
        <w:t>PER-001 is the primary persona</w:t>
      </w:r>
    </w:p>
    <w:p>
      <w:r>
        <w:rPr>
          <w:rFonts w:ascii="Georgia" w:hAnsi="Georgia"/>
        </w:rPr>
        <w:t>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 see FR-015 and NFR-004.</w:t>
      </w:r>
    </w:p>
    <w:p>
      <w:pPr>
        <w:pStyle w:val="Heading3"/>
      </w:pPr>
      <w:r>
        <w:t>Who is deliberately not a persona</w:t>
      </w:r>
    </w:p>
    <w:p>
      <w:r>
        <w:rPr>
          <w:rFonts w:ascii="Georgia" w:hAnsi="Georgia"/>
        </w:rPr>
        <w:t>The assistant that delivers the teaching, the interview and the grading is not a user of this product. It is how the product reaches PER-001. Listing it here would put the delivery mechanism into the PRD, which the set keeps out of the requirements: section 6 makes a separate application a non-goal, and section 11 records the session as dependency D-001. The same goes for the grading reviewers: a reviewer that grades a section is a mechanism, and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 xml:space="preserve">PER-001  </w:t>
      </w:r>
      <w:r>
        <w:rPr>
          <w:rFonts w:ascii="Calibri" w:hAnsi="Calibri"/>
          <w:b/>
          <w:sz w:val="20"/>
        </w:rPr>
        <w:t>Domain expert specifying software for their own field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Intensively for one to three weeks per product, then almost never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Deep in their domain, often decades. No product management training. Assume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PER-002  </w:t>
      </w:r>
      <w:r>
        <w:rPr>
          <w:rFonts w:ascii="Calibri" w:hAnsi="Calibri"/>
          <w:b/>
          <w:sz w:val="20"/>
        </w:rPr>
        <w:t>Engineering lead who must build from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a given PRD a handful of times, intensively, at estimation and at each release planning.</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may reject a PRD as not buildable.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or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plus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PER-004  </w:t>
      </w:r>
      <w:r>
        <w:rPr>
          <w:rFonts w:ascii="Calibri" w:hAnsi="Calibri"/>
          <w:b/>
          <w:sz w:val="20"/>
        </w:rPr>
        <w:t>Delivery lead running the 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77/100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1978429"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1978429" cy="7315200"/>
                    </a:xfrm>
                    <a:prstGeom prst="rect"/>
                  </pic:spPr>
                </pic:pic>
              </a:graphicData>
            </a:graphic>
          </wp:inline>
        </w:drawing>
      </w:r>
    </w:p>
    <w:p>
      <w:pPr>
        <w:spacing w:after="200"/>
        <w:jc w:val="center"/>
      </w:pPr>
      <w:r>
        <w:rPr>
          <w:rFonts w:ascii="Georgia" w:hAnsi="Georgia"/>
          <w:color w:val="5C6370"/>
          <w:sz w:val="16"/>
        </w:rPr>
        <w:t>J-001 journey diagram</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409"/>
        <w:gridCol w:w="1868"/>
        <w:gridCol w:w="3563"/>
      </w:tblGrid>
      <w:tr>
        <w:tc>
          <w:tcPr>
            <w:tcW w:type="dxa" w:w="3409"/>
            <w:tcBorders>
              <w:bottom w:val="single" w:sz="12" w:space="4" w:color="16181D"/>
            </w:tcBorders>
          </w:tcPr>
          <w:p>
            <w:pPr>
              <w:spacing w:after="60"/>
            </w:pPr>
            <w:r/>
            <w:r>
              <w:rPr>
                <w:rFonts w:ascii="Calibri" w:hAnsi="Calibri"/>
                <w:b/>
                <w:caps/>
                <w:color w:val="5C6370"/>
                <w:sz w:val="15"/>
              </w:rPr>
              <w:t>Stage</w:t>
            </w:r>
          </w:p>
        </w:tc>
        <w:tc>
          <w:tcPr>
            <w:tcW w:type="dxa" w:w="1869"/>
            <w:tcBorders>
              <w:bottom w:val="single" w:sz="12" w:space="4" w:color="16181D"/>
            </w:tcBorders>
          </w:tcPr>
          <w:p>
            <w:pPr>
              <w:spacing w:after="60"/>
            </w:pPr>
            <w:r/>
            <w:r>
              <w:rPr>
                <w:rFonts w:ascii="Calibri" w:hAnsi="Calibri"/>
                <w:b/>
                <w:caps/>
                <w:color w:val="5C6370"/>
                <w:sz w:val="15"/>
              </w:rPr>
              <w:t>Actor</w:t>
            </w:r>
          </w:p>
        </w:tc>
        <w:tc>
          <w:tcPr>
            <w:tcW w:type="dxa" w:w="3564"/>
            <w:tcBorders>
              <w:bottom w:val="single" w:sz="12" w:space="4" w:color="16181D"/>
            </w:tcBorders>
          </w:tcPr>
          <w:p>
            <w:pPr>
              <w:spacing w:after="60"/>
            </w:pPr>
            <w:r/>
            <w:r>
              <w:rPr>
                <w:rFonts w:ascii="Calibri" w:hAnsi="Calibri"/>
                <w:b/>
                <w:caps/>
                <w:color w:val="5C6370"/>
                <w:sz w:val="15"/>
              </w:rPr>
              <w:t>Decision</w:t>
            </w:r>
          </w:p>
        </w:tc>
      </w:tr>
      <w:tr>
        <w:tc>
          <w:tcPr>
            <w:tcW w:type="dxa" w:w="3409"/>
            <w:tcBorders>
              <w:bottom w:val="single" w:sz="6" w:space="4" w:color="D8DCE3"/>
            </w:tcBorders>
          </w:tcPr>
          <w:p>
            <w:pPr>
              <w:spacing w:after="60"/>
            </w:pPr>
            <w:r/>
            <w:r>
              <w:rPr>
                <w:rFonts w:ascii="Georgia" w:hAnsi="Georgia"/>
                <w:sz w:val="18"/>
              </w:rPr>
              <w:t>ST-001 States the idea and the domain</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What this is, and the domain's own words</w:t>
            </w:r>
          </w:p>
        </w:tc>
      </w:tr>
      <w:tr>
        <w:tc>
          <w:tcPr>
            <w:tcW w:type="dxa" w:w="3409"/>
            <w:tcBorders>
              <w:bottom w:val="single" w:sz="6" w:space="4" w:color="D8DCE3"/>
            </w:tcBorders>
          </w:tcPr>
          <w:p>
            <w:pPr>
              <w:spacing w:after="60"/>
            </w:pPr>
            <w:r/>
            <w:r>
              <w:rPr>
                <w:rFonts w:ascii="Georgia" w:hAnsi="Georgia"/>
                <w:sz w:val="18"/>
              </w:rPr>
              <w:t>ST-002 Taught a section, then interviewed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Have the questions reached the end of what they know</w:t>
            </w:r>
          </w:p>
        </w:tc>
      </w:tr>
      <w:tr>
        <w:tc>
          <w:tcPr>
            <w:tcW w:type="dxa" w:w="3409"/>
            <w:tcBorders>
              <w:bottom w:val="single" w:sz="6" w:space="4" w:color="D8DCE3"/>
            </w:tcBorders>
          </w:tcPr>
          <w:p>
            <w:pPr>
              <w:spacing w:after="60"/>
            </w:pPr>
            <w:r/>
            <w:r>
              <w:rPr>
                <w:rFonts w:ascii="Georgia" w:hAnsi="Georgia"/>
                <w:sz w:val="18"/>
              </w:rPr>
              <w:t>ST-003 Reads the draft and its grade</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Accept, correct, or dispute the grade</w:t>
            </w:r>
          </w:p>
        </w:tc>
      </w:tr>
      <w:tr>
        <w:tc>
          <w:tcPr>
            <w:tcW w:type="dxa" w:w="3409"/>
            <w:tcBorders>
              <w:bottom w:val="single" w:sz="6" w:space="4" w:color="D8DCE3"/>
            </w:tcBorders>
          </w:tcPr>
          <w:p>
            <w:pPr>
              <w:spacing w:after="60"/>
            </w:pPr>
            <w:r/>
            <w:r>
              <w:rPr>
                <w:rFonts w:ascii="Georgia" w:hAnsi="Georgia"/>
                <w:sz w:val="18"/>
              </w:rPr>
              <w:t>ST-004 Answers the one question that matters most</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this section done enough to leave</w:t>
            </w:r>
          </w:p>
        </w:tc>
      </w:tr>
      <w:tr>
        <w:tc>
          <w:tcPr>
            <w:tcW w:type="dxa" w:w="3409"/>
            <w:tcBorders>
              <w:bottom w:val="single" w:sz="6" w:space="4" w:color="D8DCE3"/>
            </w:tcBorders>
          </w:tcPr>
          <w:p>
            <w:pPr>
              <w:spacing w:after="60"/>
            </w:pPr>
            <w:r/>
            <w:r>
              <w:rPr>
                <w:rFonts w:ascii="Georgia" w:hAnsi="Georgia"/>
                <w:sz w:val="18"/>
              </w:rPr>
              <w:t>ST-005 Sees what a team could not build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it ready for someone who will commit</w:t>
            </w:r>
          </w:p>
        </w:tc>
      </w:tr>
      <w:tr>
        <w:tc>
          <w:tcPr>
            <w:tcW w:type="dxa" w:w="3409"/>
            <w:tcBorders>
              <w:bottom w:val="single" w:sz="6" w:space="4" w:color="D8DCE3"/>
            </w:tcBorders>
          </w:tcPr>
          <w:p>
            <w:pPr>
              <w:spacing w:after="60"/>
            </w:pPr>
            <w:r/>
            <w:r>
              <w:rPr>
                <w:rFonts w:ascii="Georgia" w:hAnsi="Georgia"/>
                <w:sz w:val="18"/>
              </w:rPr>
              <w:t>ST-006 Approver approves for a release</w:t>
            </w:r>
          </w:p>
        </w:tc>
        <w:tc>
          <w:tcPr>
            <w:tcW w:type="dxa" w:w="1869"/>
            <w:tcBorders>
              <w:bottom w:val="single" w:sz="6" w:space="4" w:color="D8DCE3"/>
            </w:tcBorders>
          </w:tcPr>
          <w:p>
            <w:pPr>
              <w:spacing w:after="60"/>
            </w:pPr>
            <w:r/>
            <w:r>
              <w:rPr>
                <w:rFonts w:ascii="Georgia" w:hAnsi="Georgia"/>
                <w:sz w:val="18"/>
              </w:rPr>
              <w:t>Sponsor or approver</w:t>
            </w:r>
          </w:p>
        </w:tc>
        <w:tc>
          <w:tcPr>
            <w:tcW w:type="dxa" w:w="3564"/>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That is the whole product: the expert is taught, asked, shown a draft, shown a grade, and asked one more thing.</w:t>
      </w:r>
    </w:p>
    <w:p>
      <w:r>
        <w:rPr>
          <w:rFonts w:ascii="Georgia" w:hAnsi="Georgia"/>
        </w:rPr>
        <w:t>End state: approved at a named version, every section graded with nothing blocking, every open question owned and dated, and no buildability gap left that is neither closed nor owned.</w:t>
      </w: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2" name="Picture 2"/>
            <wp:cNvGraphicFramePr>
              <a:graphicFrameLocks noChangeAspect="1"/>
            </wp:cNvGraphicFramePr>
            <a:graphic>
              <a:graphicData uri="http://schemas.openxmlformats.org/drawingml/2006/picture">
                <pic:pic>
                  <pic:nvPicPr>
                    <pic:cNvPr id="0" name="J-002.png"/>
                    <pic:cNvPicPr/>
                  </pic:nvPicPr>
                  <pic:blipFill>
                    <a:blip r:embed="rId10"/>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r>
        <w:rPr>
          <w:rFonts w:ascii="Georgia" w:hAnsi="Georgia"/>
        </w:rPr>
        <w:t>Persona PER-004, stages ST-009, ST-007, and ST-008. In ST-009 the engineering lead, PER-002, reads the buildability report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an owner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 an engagement, a load, a claim,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section has enough material to be drafted, or the expert has said they have nothing more to add.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Enough material for the section to be drafted</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Nothing; this is where they read</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dispute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an engineer could not build and which release-line stages have no requirement behind them.</w:t>
            </w:r>
          </w:p>
          <w:p>
            <w:pPr>
              <w:spacing w:after="20"/>
              <w:ind w:left="173"/>
            </w:pPr>
            <w:r>
              <w:rPr>
                <w:rFonts w:ascii="Calibri" w:hAnsi="Calibri"/>
                <w:b/>
                <w:color w:val="8B93A1"/>
                <w:sz w:val="17"/>
              </w:rPr>
              <w:t xml:space="preserve">Steps: </w:t>
            </w:r>
            <w:r>
              <w:rPr>
                <w:rFonts w:ascii="Georgia" w:hAnsi="Georgia"/>
                <w:sz w:val="19"/>
              </w:rPr>
              <w:t>Asks for the whole set to be reviewed as an engineer would read it; Sees what an engineer could not build, and what they would have to guess; Sees which release-line stages have no requirement behind them; Fixes the holes, or records them as open questions with a decider</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those holes closed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 or approver</w:t>
            </w:r>
          </w:p>
          <w:p>
            <w:pPr>
              <w:spacing w:after="20"/>
            </w:pPr>
            <w:r>
              <w:rPr>
                <w:rFonts w:ascii="Calibri" w:hAnsi="Calibri"/>
                <w:b/>
                <w:sz w:val="18"/>
              </w:rPr>
              <w:t>Approver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 or approver</w:t>
            </w:r>
          </w:p>
          <w:p>
            <w:pPr>
              <w:spacing w:after="20"/>
              <w:ind w:left="173"/>
            </w:pPr>
            <w:r>
              <w:rPr>
                <w:rFonts w:ascii="Calibri" w:hAnsi="Calibri"/>
                <w:b/>
                <w:color w:val="8B93A1"/>
                <w:sz w:val="17"/>
              </w:rPr>
              <w:t xml:space="preserve">Acceptance: </w:t>
            </w:r>
            <w:r>
              <w:rPr>
                <w:rFonts w:ascii="Georgia" w:hAnsi="Georgia"/>
                <w:sz w:val="19"/>
              </w:rPr>
              <w:t>Given a set offered for approval, when the approver approves, approves with conditions, or rejects it, then they see the decision recorded against the set's version.</w:t>
            </w:r>
          </w:p>
          <w:p>
            <w:pPr>
              <w:spacing w:after="20"/>
              <w:ind w:left="173"/>
            </w:pPr>
            <w:r>
              <w:rPr>
                <w:rFonts w:ascii="Calibri" w:hAnsi="Calibri"/>
                <w:b/>
                <w:color w:val="8B93A1"/>
                <w:sz w:val="17"/>
              </w:rPr>
              <w:t xml:space="preserve">Steps: </w:t>
            </w:r>
            <w:r>
              <w:rPr>
                <w:rFonts w:ascii="Georgia" w:hAnsi="Georgia"/>
                <w:sz w:val="19"/>
              </w:rPr>
              <w:t>Reads the summary, the scope, and what is still open; Sees each section's grade and whether anything is still blocking; Approves, approves with conditions naming what the condition is, or rejects; Sees the approval recorded against this version</w:t>
            </w:r>
          </w:p>
          <w:p>
            <w:pPr>
              <w:spacing w:after="20"/>
              <w:ind w:left="173"/>
            </w:pPr>
            <w:r>
              <w:rPr>
                <w:rFonts w:ascii="Calibri" w:hAnsi="Calibri"/>
                <w:b/>
                <w:color w:val="8B93A1"/>
                <w:sz w:val="17"/>
              </w:rPr>
              <w:t xml:space="preserve">Inputs: </w:t>
            </w:r>
            <w:r>
              <w:rPr>
                <w:rFonts w:ascii="Georgia" w:hAnsi="Georgia"/>
                <w:sz w:val="19"/>
              </w:rPr>
              <w:t>Their decision and any conditions</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Delivery lead, for the story-mapping workshop</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I do not know what the section is for, so I fill the heading with adjectives</w:t>
            </w:r>
          </w:p>
          <w:p>
            <w:pPr>
              <w:spacing w:after="40"/>
              <w:ind w:left="173"/>
            </w:pPr>
            <w:r>
              <w:rPr>
                <w:rFonts w:ascii="Georgia" w:hAnsi="Georgia"/>
                <w:sz w:val="19"/>
              </w:rPr>
              <w:t>• Nobody tells me my requirements are untestable until a team tries to build them</w:t>
            </w:r>
          </w:p>
          <w:p>
            <w:pPr>
              <w:spacing w:after="40"/>
              <w:ind w:left="173"/>
            </w:pPr>
            <w:r>
              <w:rPr>
                <w:rFonts w:ascii="Georgia" w:hAnsi="Georgia"/>
                <w:sz w:val="19"/>
              </w:rPr>
              <w:t>• I reach for the names of software I have used</w:t>
            </w:r>
          </w:p>
          <w:p>
            <w:pPr>
              <w:spacing w:after="40"/>
              <w:ind w:left="173"/>
            </w:pPr>
            <w:r>
              <w:rPr>
                <w:rFonts w:ascii="Georgia" w:hAnsi="Georgia"/>
                <w:sz w:val="19"/>
              </w:rPr>
              <w:t>• I put this down for a week and cannot remember where I was</w:t>
            </w:r>
          </w:p>
          <w:p>
            <w:pPr>
              <w:spacing w:after="40"/>
              <w:ind w:left="173"/>
            </w:pPr>
            <w:r>
              <w:rPr>
                <w:rFonts w:ascii="Georgia" w:hAnsi="Georgia"/>
                <w:sz w:val="19"/>
              </w:rPr>
              <w:t>• I cannot tell whether what I have written is good</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an engineer cannot build</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Acceptance: </w:t>
            </w:r>
            <w:r>
              <w:rPr>
                <w:rFonts w:ascii="Georgia" w:hAnsi="Georgia"/>
                <w:sz w:val="19"/>
              </w:rPr>
              <w:t>Given an approved set and its buildability report, when the engineering lead records a verdict that differs from the report's, then their judgement is recorded as the verdict and the report is kept alongside it.; Given a gap the engineering lead records, when it is stated, then the document is quoted for it.</w:t>
            </w:r>
          </w:p>
          <w:p>
            <w:pPr>
              <w:spacing w:after="20"/>
              <w:ind w:left="173"/>
            </w:pPr>
            <w:r>
              <w:rPr>
                <w:rFonts w:ascii="Calibri" w:hAnsi="Calibri"/>
                <w:b/>
                <w:color w:val="8B93A1"/>
                <w:sz w:val="17"/>
              </w:rPr>
              <w:t xml:space="preserve">Steps: </w:t>
            </w:r>
            <w:r>
              <w:rPr>
                <w:rFonts w:ascii="Georgia" w:hAnsi="Georgia"/>
                <w:sz w:val="19"/>
              </w:rPr>
              <w:t>Reads the buildability report,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its buildability report</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w:t>
            </w:r>
          </w:p>
          <w:p>
            <w:pPr>
              <w:spacing w:after="20"/>
              <w:ind w:left="173"/>
            </w:pPr>
            <w:r>
              <w:rPr>
                <w:rFonts w:ascii="Calibri" w:hAnsi="Calibri"/>
                <w:b/>
                <w:color w:val="8B93A1"/>
                <w:sz w:val="17"/>
              </w:rPr>
              <w:t xml:space="preserve">Inputs: </w:t>
            </w:r>
            <w:r>
              <w:rPr>
                <w:rFonts w:ascii="Georgia" w:hAnsi="Georgia"/>
                <w:sz w:val="19"/>
              </w:rPr>
              <w:t>The approved set, and the team's sizing of the stories</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workshop invents a backbone in the room because the PRD has none</w:t>
            </w:r>
          </w:p>
          <w:p>
            <w:pPr>
              <w:spacing w:after="40"/>
              <w:ind w:left="173"/>
            </w:pPr>
            <w:r>
              <w:rPr>
                <w:rFonts w:ascii="Georgia" w:hAnsi="Georgia"/>
                <w:sz w:val="19"/>
              </w:rPr>
              <w:t>• Stories trace to nothing, so nobody can say why they exist</w:t>
            </w:r>
          </w:p>
          <w:p>
            <w:pPr>
              <w:spacing w:after="40"/>
              <w:ind w:left="173"/>
            </w:pPr>
            <w:r>
              <w:rPr>
                <w:rFonts w:ascii="Georgia" w:hAnsi="Georgia"/>
                <w:sz w:val="19"/>
              </w:rPr>
              <w:t>• Non-functional requirements and constraints are forgotten until late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 · 78/100 · no blocking defects</w:t>
      </w:r>
    </w:p>
    <w:p>
      <w:pPr>
        <w:jc w:val="center"/>
      </w:pPr>
      <w:r>
        <w:drawing>
          <wp:inline xmlns:a="http://schemas.openxmlformats.org/drawingml/2006/main" xmlns:pic="http://schemas.openxmlformats.org/drawingml/2006/picture">
            <wp:extent cx="2222211" cy="7315200"/>
            <wp:docPr id="3" name="Picture 3"/>
            <wp:cNvGraphicFramePr>
              <a:graphicFrameLocks noChangeAspect="1"/>
            </wp:cNvGraphicFramePr>
            <a:graphic>
              <a:graphicData uri="http://schemas.openxmlformats.org/drawingml/2006/picture">
                <pic:pic>
                  <pic:nvPicPr>
                    <pic:cNvPr id="0" name="SC-001.png"/>
                    <pic:cNvPicPr/>
                  </pic:nvPicPr>
                  <pic:blipFill>
                    <a:blip r:embed="rId11"/>
                    <a:stretch>
                      <a:fillRect/>
                    </a:stretch>
                  </pic:blipFill>
                  <pic:spPr>
                    <a:xfrm>
                      <a:off x="0" y="0"/>
                      <a:ext cx="2222211"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1499130" cy="7315200"/>
            <wp:docPr id="4" name="Picture 4"/>
            <wp:cNvGraphicFramePr>
              <a:graphicFrameLocks noChangeAspect="1"/>
            </wp:cNvGraphicFramePr>
            <a:graphic>
              <a:graphicData uri="http://schemas.openxmlformats.org/drawingml/2006/picture">
                <pic:pic>
                  <pic:nvPicPr>
                    <pic:cNvPr id="0" name="LC-001.png"/>
                    <pic:cNvPicPr/>
                  </pic:nvPicPr>
                  <pic:blipFill>
                    <a:blip r:embed="rId12"/>
                    <a:stretch>
                      <a:fillRect/>
                    </a:stretch>
                  </pic:blipFill>
                  <pic:spPr>
                    <a:xfrm>
                      <a:off x="0" y="0"/>
                      <a:ext cx="149913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5" name="Picture 5"/>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6" name="Picture 6"/>
            <wp:cNvGraphicFramePr>
              <a:graphicFrameLocks noChangeAspect="1"/>
            </wp:cNvGraphicFramePr>
            <a:graphic>
              <a:graphicData uri="http://schemas.openxmlformats.org/drawingml/2006/picture">
                <pic:pic>
                  <pic:nvPicPr>
                    <pic:cNvPr id="0" name="SC-002.png"/>
                    <pic:cNvPicPr/>
                  </pic:nvPicPr>
                  <pic:blipFill>
                    <a:blip r:embed="rId14"/>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7" name="Picture 7"/>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687712" cy="7315200"/>
            <wp:docPr id="8" name="Picture 8"/>
            <wp:cNvGraphicFramePr>
              <a:graphicFrameLocks noChangeAspect="1"/>
            </wp:cNvGraphicFramePr>
            <a:graphic>
              <a:graphicData uri="http://schemas.openxmlformats.org/drawingml/2006/picture">
                <pic:pic>
                  <pic:nvPicPr>
                    <pic:cNvPr id="0" name="SC-003.png"/>
                    <pic:cNvPicPr/>
                  </pic:nvPicPr>
                  <pic:blipFill>
                    <a:blip r:embed="rId16"/>
                    <a:stretch>
                      <a:fillRect/>
                    </a:stretch>
                  </pic:blipFill>
                  <pic:spPr>
                    <a:xfrm>
                      <a:off x="0" y="0"/>
                      <a:ext cx="2687712"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2666224" cy="7315200"/>
            <wp:docPr id="9" name="Picture 9"/>
            <wp:cNvGraphicFramePr>
              <a:graphicFrameLocks noChangeAspect="1"/>
            </wp:cNvGraphicFramePr>
            <a:graphic>
              <a:graphicData uri="http://schemas.openxmlformats.org/drawingml/2006/picture">
                <pic:pic>
                  <pic:nvPicPr>
                    <pic:cNvPr id="0" name="SC-004.png"/>
                    <pic:cNvPicPr/>
                  </pic:nvPicPr>
                  <pic:blipFill>
                    <a:blip r:embed="rId17"/>
                    <a:stretch>
                      <a:fillRect/>
                    </a:stretch>
                  </pic:blipFill>
                  <pic:spPr>
                    <a:xfrm>
                      <a:off x="0" y="0"/>
                      <a:ext cx="266622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2739922" cy="7315200"/>
            <wp:docPr id="10" name="Picture 10"/>
            <wp:cNvGraphicFramePr>
              <a:graphicFrameLocks noChangeAspect="1"/>
            </wp:cNvGraphicFramePr>
            <a:graphic>
              <a:graphicData uri="http://schemas.openxmlformats.org/drawingml/2006/picture">
                <pic:pic>
                  <pic:nvPicPr>
                    <pic:cNvPr id="0" name="SC-005.png"/>
                    <pic:cNvPicPr/>
                  </pic:nvPicPr>
                  <pic:blipFill>
                    <a:blip r:embed="rId18"/>
                    <a:stretch>
                      <a:fillRect/>
                    </a:stretch>
                  </pic:blipFill>
                  <pic:spPr>
                    <a:xfrm>
                      <a:off x="0" y="0"/>
                      <a:ext cx="2739922"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1" name="Picture 11"/>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3427974" cy="7315200"/>
            <wp:docPr id="12" name="Picture 12"/>
            <wp:cNvGraphicFramePr>
              <a:graphicFrameLocks noChangeAspect="1"/>
            </wp:cNvGraphicFramePr>
            <a:graphic>
              <a:graphicData uri="http://schemas.openxmlformats.org/drawingml/2006/picture">
                <pic:pic>
                  <pic:nvPicPr>
                    <pic:cNvPr id="0" name="SC-006.png"/>
                    <pic:cNvPicPr/>
                  </pic:nvPicPr>
                  <pic:blipFill>
                    <a:blip r:embed="rId20"/>
                    <a:stretch>
                      <a:fillRect/>
                    </a:stretch>
                  </pic:blipFill>
                  <pic:spPr>
                    <a:xfrm>
                      <a:off x="0" y="0"/>
                      <a:ext cx="3427974"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91409" cy="7315200"/>
            <wp:docPr id="13" name="Picture 13"/>
            <wp:cNvGraphicFramePr>
              <a:graphicFrameLocks noChangeAspect="1"/>
            </wp:cNvGraphicFramePr>
            <a:graphic>
              <a:graphicData uri="http://schemas.openxmlformats.org/drawingml/2006/picture">
                <pic:pic>
                  <pic:nvPicPr>
                    <pic:cNvPr id="0" name="SC-007.png"/>
                    <pic:cNvPicPr/>
                  </pic:nvPicPr>
                  <pic:blipFill>
                    <a:blip r:embed="rId21"/>
                    <a:stretch>
                      <a:fillRect/>
                    </a:stretch>
                  </pic:blipFill>
                  <pic:spPr>
                    <a:xfrm>
                      <a:off x="0" y="0"/>
                      <a:ext cx="2091409"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4" name="Picture 14"/>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15" name="Picture 15"/>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3873499"/>
            <wp:docPr id="16" name="Picture 16"/>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17" name="Picture 1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18" name="Picture 18"/>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19" name="Picture 19"/>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47"/>
        <w:gridCol w:w="1571"/>
        <w:gridCol w:w="1274"/>
        <w:gridCol w:w="1232"/>
        <w:gridCol w:w="3269"/>
      </w:tblGrid>
      <w:tr>
        <w:tc>
          <w:tcPr>
            <w:tcW w:type="dxa" w:w="1147"/>
            <w:tcBorders>
              <w:bottom w:val="single" w:sz="12" w:space="4" w:color="16181D"/>
            </w:tcBorders>
          </w:tcPr>
          <w:p>
            <w:pPr>
              <w:spacing w:after="60"/>
            </w:pPr>
            <w:r/>
            <w:r>
              <w:rPr>
                <w:rFonts w:ascii="Calibri" w:hAnsi="Calibri"/>
                <w:b/>
                <w:caps/>
                <w:color w:val="5C6370"/>
                <w:sz w:val="15"/>
              </w:rPr>
              <w:t>ID</w:t>
            </w:r>
          </w:p>
        </w:tc>
        <w:tc>
          <w:tcPr>
            <w:tcW w:type="dxa" w:w="1572"/>
            <w:tcBorders>
              <w:bottom w:val="single" w:sz="12" w:space="4" w:color="16181D"/>
            </w:tcBorders>
          </w:tcPr>
          <w:p>
            <w:pPr>
              <w:spacing w:after="60"/>
            </w:pPr>
            <w:r/>
            <w:r>
              <w:rPr>
                <w:rFonts w:ascii="Calibri" w:hAnsi="Calibri"/>
                <w:b/>
                <w:caps/>
                <w:color w:val="5C6370"/>
                <w:sz w:val="15"/>
              </w:rPr>
              <w:t>Stage</w:t>
            </w:r>
          </w:p>
        </w:tc>
        <w:tc>
          <w:tcPr>
            <w:tcW w:type="dxa" w:w="1275"/>
            <w:tcBorders>
              <w:bottom w:val="single" w:sz="12" w:space="4" w:color="16181D"/>
            </w:tcBorders>
          </w:tcPr>
          <w:p>
            <w:pPr>
              <w:spacing w:after="60"/>
            </w:pPr>
            <w:r/>
            <w:r>
              <w:rPr>
                <w:rFonts w:ascii="Calibri" w:hAnsi="Calibri"/>
                <w:b/>
                <w:caps/>
                <w:color w:val="5C6370"/>
                <w:sz w:val="15"/>
              </w:rPr>
              <w:t>Variant</w:t>
            </w:r>
          </w:p>
        </w:tc>
        <w:tc>
          <w:tcPr>
            <w:tcW w:type="dxa" w:w="1232"/>
            <w:tcBorders>
              <w:bottom w:val="single" w:sz="12" w:space="4" w:color="16181D"/>
            </w:tcBorders>
          </w:tcPr>
          <w:p>
            <w:pPr>
              <w:spacing w:after="60"/>
            </w:pPr>
            <w:r/>
            <w:r>
              <w:rPr>
                <w:rFonts w:ascii="Calibri" w:hAnsi="Calibri"/>
                <w:b/>
                <w:caps/>
                <w:color w:val="5C6370"/>
                <w:sz w:val="15"/>
              </w:rPr>
              <w:t>Priority</w:t>
            </w:r>
          </w:p>
        </w:tc>
        <w:tc>
          <w:tcPr>
            <w:tcW w:type="dxa" w:w="3270"/>
            <w:tcBorders>
              <w:bottom w:val="single" w:sz="12" w:space="4" w:color="16181D"/>
            </w:tcBorders>
          </w:tcPr>
          <w:p>
            <w:pPr>
              <w:spacing w:after="60"/>
            </w:pPr>
            <w:r/>
            <w:r>
              <w:rPr>
                <w:rFonts w:ascii="Calibri" w:hAnsi="Calibri"/>
                <w:b/>
                <w:caps/>
                <w:color w:val="5C6370"/>
                <w:sz w:val="15"/>
              </w:rPr>
              <w:t>What it covers</w:t>
            </w:r>
          </w:p>
        </w:tc>
      </w:tr>
      <w:tr>
        <w:tc>
          <w:tcPr>
            <w:tcW w:type="dxa" w:w="1147"/>
            <w:tcBorders>
              <w:bottom w:val="single" w:sz="6" w:space="4" w:color="D8DCE3"/>
            </w:tcBorders>
          </w:tcPr>
          <w:p>
            <w:pPr>
              <w:spacing w:after="60"/>
            </w:pPr>
            <w:r/>
            <w:r>
              <w:rPr>
                <w:rFonts w:ascii="Georgia" w:hAnsi="Georgia"/>
                <w:sz w:val="18"/>
              </w:rPr>
              <w:t>SC-001</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A section taught, interviewed, drafted, graded, improved</w:t>
            </w:r>
          </w:p>
        </w:tc>
      </w:tr>
      <w:tr>
        <w:tc>
          <w:tcPr>
            <w:tcW w:type="dxa" w:w="1147"/>
            <w:tcBorders>
              <w:bottom w:val="single" w:sz="6" w:space="4" w:color="D8DCE3"/>
            </w:tcBorders>
          </w:tcPr>
          <w:p>
            <w:pPr>
              <w:spacing w:after="60"/>
            </w:pPr>
            <w:r/>
            <w:r>
              <w:rPr>
                <w:rFonts w:ascii="Georgia" w:hAnsi="Georgia"/>
                <w:sz w:val="18"/>
              </w:rPr>
              <w:t>SC-002</w:t>
            </w:r>
          </w:p>
        </w:tc>
        <w:tc>
          <w:tcPr>
            <w:tcW w:type="dxa" w:w="1572"/>
            <w:tcBorders>
              <w:bottom w:val="single" w:sz="6" w:space="4" w:color="D8DCE3"/>
            </w:tcBorders>
          </w:tcPr>
          <w:p>
            <w:pPr>
              <w:spacing w:after="60"/>
            </w:pPr>
            <w:r/>
            <w:r>
              <w:rPr>
                <w:rFonts w:ascii="Georgia" w:hAnsi="Georgia"/>
                <w:sz w:val="18"/>
              </w:rPr>
              <w:t>ST-004</w:t>
            </w:r>
          </w:p>
        </w:tc>
        <w:tc>
          <w:tcPr>
            <w:tcW w:type="dxa" w:w="1275"/>
            <w:tcBorders>
              <w:bottom w:val="single" w:sz="6" w:space="4" w:color="D8DCE3"/>
            </w:tcBorders>
          </w:tcPr>
          <w:p>
            <w:pPr>
              <w:spacing w:after="60"/>
            </w:pPr>
            <w:r/>
            <w:r>
              <w:rPr>
                <w:rFonts w:ascii="Georgia" w:hAnsi="Georgia"/>
                <w:sz w:val="18"/>
              </w:rPr>
              <w:t>alternate</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Resuming after eight days away</w:t>
            </w:r>
          </w:p>
        </w:tc>
      </w:tr>
      <w:tr>
        <w:tc>
          <w:tcPr>
            <w:tcW w:type="dxa" w:w="1147"/>
            <w:tcBorders>
              <w:bottom w:val="single" w:sz="6" w:space="4" w:color="D8DCE3"/>
            </w:tcBorders>
          </w:tcPr>
          <w:p>
            <w:pPr>
              <w:spacing w:after="60"/>
            </w:pPr>
            <w:r/>
            <w:r>
              <w:rPr>
                <w:rFonts w:ascii="Georgia" w:hAnsi="Georgia"/>
                <w:sz w:val="18"/>
              </w:rPr>
              <w:t>SC-003</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states a technology</w:t>
            </w:r>
          </w:p>
        </w:tc>
      </w:tr>
      <w:tr>
        <w:tc>
          <w:tcPr>
            <w:tcW w:type="dxa" w:w="1147"/>
            <w:tcBorders>
              <w:bottom w:val="single" w:sz="6" w:space="4" w:color="D8DCE3"/>
            </w:tcBorders>
          </w:tcPr>
          <w:p>
            <w:pPr>
              <w:spacing w:after="60"/>
            </w:pPr>
            <w:r/>
            <w:r>
              <w:rPr>
                <w:rFonts w:ascii="Georgia" w:hAnsi="Georgia"/>
                <w:sz w:val="18"/>
              </w:rPr>
              <w:t>SC-004</w:t>
            </w:r>
          </w:p>
        </w:tc>
        <w:tc>
          <w:tcPr>
            <w:tcW w:type="dxa" w:w="1572"/>
            <w:tcBorders>
              <w:bottom w:val="single" w:sz="6" w:space="4" w:color="D8DCE3"/>
            </w:tcBorders>
          </w:tcPr>
          <w:p>
            <w:pPr>
              <w:spacing w:after="60"/>
            </w:pPr>
            <w:r/>
            <w:r>
              <w:rPr>
                <w:rFonts w:ascii="Georgia" w:hAnsi="Georgia"/>
                <w:sz w:val="18"/>
              </w:rPr>
              <w:t>ST-003</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The expert refutes a grading finding</w:t>
            </w:r>
          </w:p>
        </w:tc>
      </w:tr>
      <w:tr>
        <w:tc>
          <w:tcPr>
            <w:tcW w:type="dxa" w:w="1147"/>
            <w:tcBorders>
              <w:bottom w:val="single" w:sz="6" w:space="4" w:color="D8DCE3"/>
            </w:tcBorders>
          </w:tcPr>
          <w:p>
            <w:pPr>
              <w:spacing w:after="60"/>
            </w:pPr>
            <w:r/>
            <w:r>
              <w:rPr>
                <w:rFonts w:ascii="Georgia" w:hAnsi="Georgia"/>
                <w:sz w:val="18"/>
              </w:rPr>
              <w:t>SC-005</w:t>
            </w:r>
          </w:p>
        </w:tc>
        <w:tc>
          <w:tcPr>
            <w:tcW w:type="dxa" w:w="1572"/>
            <w:tcBorders>
              <w:bottom w:val="single" w:sz="6" w:space="4" w:color="D8DCE3"/>
            </w:tcBorders>
          </w:tcPr>
          <w:p>
            <w:pPr>
              <w:spacing w:after="60"/>
            </w:pPr>
            <w:r/>
            <w:r>
              <w:rPr>
                <w:rFonts w:ascii="Georgia" w:hAnsi="Georgia"/>
                <w:sz w:val="18"/>
              </w:rPr>
              <w:t>ST-005</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Buildability review finds holes</w:t>
            </w:r>
          </w:p>
        </w:tc>
      </w:tr>
      <w:tr>
        <w:tc>
          <w:tcPr>
            <w:tcW w:type="dxa" w:w="1147"/>
            <w:tcBorders>
              <w:bottom w:val="single" w:sz="6" w:space="4" w:color="D8DCE3"/>
            </w:tcBorders>
          </w:tcPr>
          <w:p>
            <w:pPr>
              <w:spacing w:after="60"/>
            </w:pPr>
            <w:r/>
            <w:r>
              <w:rPr>
                <w:rFonts w:ascii="Georgia" w:hAnsi="Georgia"/>
                <w:sz w:val="18"/>
              </w:rPr>
              <w:t>SC-006</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has no baseline for a metric</w:t>
            </w:r>
          </w:p>
        </w:tc>
      </w:tr>
      <w:tr>
        <w:tc>
          <w:tcPr>
            <w:tcW w:type="dxa" w:w="1147"/>
            <w:tcBorders>
              <w:bottom w:val="single" w:sz="6" w:space="4" w:color="D8DCE3"/>
            </w:tcBorders>
          </w:tcPr>
          <w:p>
            <w:pPr>
              <w:spacing w:after="60"/>
            </w:pPr>
            <w:r/>
            <w:r>
              <w:rPr>
                <w:rFonts w:ascii="Georgia" w:hAnsi="Georgia"/>
                <w:sz w:val="18"/>
              </w:rPr>
              <w:t>SC-007</w:t>
            </w:r>
          </w:p>
        </w:tc>
        <w:tc>
          <w:tcPr>
            <w:tcW w:type="dxa" w:w="1572"/>
            <w:tcBorders>
              <w:bottom w:val="single" w:sz="6" w:space="4" w:color="D8DCE3"/>
            </w:tcBorders>
          </w:tcPr>
          <w:p>
            <w:pPr>
              <w:spacing w:after="60"/>
            </w:pPr>
            <w:r/>
            <w:r>
              <w:rPr>
                <w:rFonts w:ascii="Georgia" w:hAnsi="Georgia"/>
                <w:sz w:val="18"/>
              </w:rPr>
              <w:t>ST-001 to ST-006</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One idea, from the first sentence to an approved set</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and SC-004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The four exceptions are the ones that decide whether this product is trustworthy. SC-003 and SC-006 are where a specification quietly acquires a technology choice or an invented fact. SC-004 is where the grading either earns the expert's trust or loses it: a reviewer that cannot be refuted is a reviewer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established in ST-001</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No argument is had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grading reviewer has reported that a requirement names a component. The expert reads the finding and believes it is wrong.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 finding is wrong - the word is their domain's own term.</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finding is checked against the document rather than defended</w:t>
            </w:r>
          </w:p>
          <w:p>
            <w:pPr>
              <w:spacing w:after="40"/>
              <w:ind w:left="173"/>
            </w:pPr>
            <w:r>
              <w:rPr>
                <w:rFonts w:ascii="Georgia" w:hAnsi="Georgia"/>
                <w:sz w:val="19"/>
              </w:rPr>
              <w:t>• Where the word is indeed a domain term and not a component, the finding is dropped and the expert is told it was dropped</w:t>
            </w:r>
          </w:p>
          <w:p>
            <w:pPr>
              <w:spacing w:after="40"/>
              <w:ind w:left="173"/>
            </w:pPr>
            <w:r>
              <w:rPr>
                <w:rFonts w:ascii="Georgia" w:hAnsi="Georgia"/>
                <w:sz w:val="19"/>
              </w:rPr>
              <w:t>• Where it is genuinely a component, the reason is stated once, and if the expert still disagrees their decision is recorded with the dissent noted</w:t>
            </w:r>
          </w:p>
          <w:p>
            <w:pPr>
              <w:spacing w:after="40"/>
              <w:ind w:left="173"/>
            </w:pPr>
            <w:r>
              <w:rPr>
                <w:rFonts w:ascii="Georgia" w:hAnsi="Georgia"/>
                <w:sz w:val="19"/>
              </w:rPr>
              <w:t>• The grade reflects what the document says after that decision, not what the reviewer first claimed</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A finding the expert refutes does not survive into the report, the expert is told so plainly, and a disagreement the expert insists on is recorded rather than re-argued at the next grading pass.</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reviewer would ask for first, in order</w:t>
            </w:r>
          </w:p>
          <w:p>
            <w:pPr>
              <w:spacing w:after="40"/>
              <w:ind w:left="173"/>
            </w:pPr>
            <w:r>
              <w:rPr>
                <w:rFonts w:ascii="Georgia" w:hAnsi="Georgia"/>
                <w:sz w:val="19"/>
              </w:rPr>
              <w:t>• They fix two of them and record the third as an open question with a decider and a date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and does not know the current value of the metric they have just named.</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and the objective linked to it</w:t>
            </w:r>
          </w:p>
          <w:p>
            <w:pPr>
              <w:spacing w:after="40"/>
              <w:ind w:left="173"/>
            </w:pPr>
            <w:r>
              <w:rPr>
                <w:rFonts w:ascii="Georgia" w:hAnsi="Georgia"/>
                <w:sz w:val="19"/>
              </w:rPr>
              <w:t>• They see that the target is marked as an intention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the objective carries an explicit unknown, and section 12 holds a question with a named decider and a date.</w:t>
            </w:r>
          </w:p>
        </w:tc>
      </w:tr>
    </w:tbl>
    <w:p>
      <w:pPr>
        <w:spacing w:after="40"/>
      </w:pPr>
    </w:p>
    <w:p>
      <w:pPr>
        <w:keepNext/>
        <w:spacing w:before="220" w:after="60"/>
        <w:ind w:left="115"/>
        <w:pBdr>
          <w:left w:val="single" w:sz="18" w:space="0" w:color="1F4E79"/>
        </w:pBdr>
      </w:pPr>
      <w:r>
        <w:rPr>
          <w:rFonts w:ascii="Calibri" w:hAnsi="Calibri"/>
          <w:b/>
          <w:color w:val="1F4E79"/>
          <w:sz w:val="20"/>
        </w:rPr>
        <w:t>SC-007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specification.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 sponsor reads the root document, sees what is still open and who owns each open item, and approves the set at version 1.0.0</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owned by a named decider,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Approved, with the approval recorded in section 15.</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An independent grading pass with zero blocking defects, and an approval recorded in section 15,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 · 79/100 · no blocking defects</w:t>
      </w:r>
    </w:p>
    <w:p>
      <w:pPr>
        <w:pStyle w:val="Heading3"/>
      </w:pPr>
      <w:r>
        <w:t>Release line</w:t>
      </w:r>
    </w:p>
    <w:p>
      <w:r>
        <w:rPr>
          <w:rFonts w:ascii="Georgia" w:hAnsi="Georgia"/>
        </w:rPr>
        <w:t>ST-001 through ST-006 for one expert, one PRD, one golden-thread journey.</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70"/>
        <w:gridCol w:w="3673"/>
        <w:gridCol w:w="1170"/>
        <w:gridCol w:w="2653"/>
      </w:tblGrid>
      <w:tr>
        <w:tc>
          <w:tcPr>
            <w:tcW w:type="dxa" w:w="1171"/>
            <w:tcBorders>
              <w:bottom w:val="single" w:sz="12" w:space="4" w:color="16181D"/>
            </w:tcBorders>
          </w:tcPr>
          <w:p>
            <w:pPr>
              <w:spacing w:after="60"/>
            </w:pPr>
            <w:r/>
            <w:r>
              <w:rPr>
                <w:rFonts w:ascii="Calibri" w:hAnsi="Calibri"/>
                <w:b/>
                <w:caps/>
                <w:color w:val="5C6370"/>
                <w:sz w:val="15"/>
              </w:rPr>
              <w:t>ID</w:t>
            </w:r>
          </w:p>
        </w:tc>
        <w:tc>
          <w:tcPr>
            <w:tcW w:type="dxa" w:w="3673"/>
            <w:tcBorders>
              <w:bottom w:val="single" w:sz="12" w:space="4" w:color="16181D"/>
            </w:tcBorders>
          </w:tcPr>
          <w:p>
            <w:pPr>
              <w:spacing w:after="60"/>
            </w:pPr>
            <w:r/>
            <w:r>
              <w:rPr>
                <w:rFonts w:ascii="Calibri" w:hAnsi="Calibri"/>
                <w:b/>
                <w:caps/>
                <w:color w:val="5C6370"/>
                <w:sz w:val="15"/>
              </w:rPr>
              <w:t>In scope</w:t>
            </w:r>
          </w:p>
        </w:tc>
        <w:tc>
          <w:tcPr>
            <w:tcW w:type="dxa" w:w="1171"/>
            <w:tcBorders>
              <w:bottom w:val="single" w:sz="12" w:space="4" w:color="16181D"/>
            </w:tcBorders>
          </w:tcPr>
          <w:p>
            <w:pPr>
              <w:spacing w:after="60"/>
            </w:pPr>
            <w:r/>
            <w:r>
              <w:rPr>
                <w:rFonts w:ascii="Calibri" w:hAnsi="Calibri"/>
                <w:b/>
                <w:caps/>
                <w:color w:val="5C6370"/>
                <w:sz w:val="15"/>
              </w:rPr>
              <w:t>Stage</w:t>
            </w:r>
          </w:p>
        </w:tc>
        <w:tc>
          <w:tcPr>
            <w:tcW w:type="dxa" w:w="2654"/>
            <w:tcBorders>
              <w:bottom w:val="single" w:sz="12" w:space="4" w:color="16181D"/>
            </w:tcBorders>
          </w:tcPr>
          <w:p>
            <w:pPr>
              <w:spacing w:after="60"/>
            </w:pPr>
            <w:r/>
            <w:r>
              <w:rPr>
                <w:rFonts w:ascii="Calibri" w:hAnsi="Calibri"/>
                <w:b/>
                <w:caps/>
                <w:color w:val="5C6370"/>
                <w:sz w:val="15"/>
              </w:rPr>
              <w:t>Requirements</w:t>
            </w:r>
          </w:p>
        </w:tc>
      </w:tr>
      <w:tr>
        <w:tc>
          <w:tcPr>
            <w:tcW w:type="dxa" w:w="1171"/>
            <w:tcBorders>
              <w:bottom w:val="single" w:sz="6" w:space="4" w:color="D8DCE3"/>
            </w:tcBorders>
          </w:tcPr>
          <w:p>
            <w:pPr>
              <w:spacing w:after="60"/>
            </w:pPr>
            <w:r/>
            <w:r>
              <w:rPr>
                <w:rFonts w:ascii="Georgia" w:hAnsi="Georgia"/>
                <w:sz w:val="18"/>
              </w:rPr>
              <w:t>IN-001</w:t>
            </w:r>
          </w:p>
        </w:tc>
        <w:tc>
          <w:tcPr>
            <w:tcW w:type="dxa" w:w="3673"/>
            <w:tcBorders>
              <w:bottom w:val="single" w:sz="6" w:space="4" w:color="D8DCE3"/>
            </w:tcBorders>
          </w:tcPr>
          <w:p>
            <w:pPr>
              <w:spacing w:after="60"/>
            </w:pPr>
            <w:r/>
            <w:r>
              <w:rPr>
                <w:rFonts w:ascii="Georgia" w:hAnsi="Georgia"/>
                <w:sz w:val="18"/>
              </w:rPr>
              <w:t>Idea, domain, vocabulary, a visible empty set, and resumption</w:t>
            </w:r>
          </w:p>
        </w:tc>
        <w:tc>
          <w:tcPr>
            <w:tcW w:type="dxa" w:w="1171"/>
            <w:tcBorders>
              <w:bottom w:val="single" w:sz="6" w:space="4" w:color="D8DCE3"/>
            </w:tcBorders>
          </w:tcPr>
          <w:p>
            <w:pPr>
              <w:spacing w:after="60"/>
            </w:pPr>
            <w:r/>
            <w:r>
              <w:rPr>
                <w:rFonts w:ascii="Georgia" w:hAnsi="Georgia"/>
                <w:sz w:val="18"/>
              </w:rPr>
              <w:t>ST-001</w:t>
            </w:r>
          </w:p>
        </w:tc>
        <w:tc>
          <w:tcPr>
            <w:tcW w:type="dxa" w:w="2654"/>
            <w:tcBorders>
              <w:bottom w:val="single" w:sz="6" w:space="4" w:color="D8DCE3"/>
            </w:tcBorders>
          </w:tcPr>
          <w:p>
            <w:pPr>
              <w:spacing w:after="60"/>
            </w:pPr>
            <w:r/>
            <w:r>
              <w:rPr>
                <w:rFonts w:ascii="Georgia" w:hAnsi="Georgia"/>
                <w:sz w:val="18"/>
              </w:rPr>
              <w:t>FR-001, FR-002, FR-015</w:t>
            </w:r>
          </w:p>
        </w:tc>
      </w:tr>
      <w:tr>
        <w:tc>
          <w:tcPr>
            <w:tcW w:type="dxa" w:w="1171"/>
            <w:tcBorders>
              <w:bottom w:val="single" w:sz="6" w:space="4" w:color="D8DCE3"/>
            </w:tcBorders>
          </w:tcPr>
          <w:p>
            <w:pPr>
              <w:spacing w:after="60"/>
            </w:pPr>
            <w:r/>
            <w:r>
              <w:rPr>
                <w:rFonts w:ascii="Georgia" w:hAnsi="Georgia"/>
                <w:sz w:val="18"/>
              </w:rPr>
              <w:t>IN-002</w:t>
            </w:r>
          </w:p>
        </w:tc>
        <w:tc>
          <w:tcPr>
            <w:tcW w:type="dxa" w:w="3673"/>
            <w:tcBorders>
              <w:bottom w:val="single" w:sz="6" w:space="4" w:color="D8DCE3"/>
            </w:tcBorders>
          </w:tcPr>
          <w:p>
            <w:pPr>
              <w:spacing w:after="60"/>
            </w:pPr>
            <w:r/>
            <w:r>
              <w:rPr>
                <w:rFonts w:ascii="Georgia" w:hAnsi="Georgia"/>
                <w:sz w:val="18"/>
              </w:rPr>
              <w:t>Teach then interview, in their vocabulary</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FR-003, FR-004, FR-005</w:t>
            </w:r>
          </w:p>
        </w:tc>
      </w:tr>
      <w:tr>
        <w:tc>
          <w:tcPr>
            <w:tcW w:type="dxa" w:w="1171"/>
            <w:tcBorders>
              <w:bottom w:val="single" w:sz="6" w:space="4" w:color="D8DCE3"/>
            </w:tcBorders>
          </w:tcPr>
          <w:p>
            <w:pPr>
              <w:spacing w:after="60"/>
            </w:pPr>
            <w:r/>
            <w:r>
              <w:rPr>
                <w:rFonts w:ascii="Georgia" w:hAnsi="Georgia"/>
                <w:sz w:val="18"/>
              </w:rPr>
              <w:t>IN-003</w:t>
            </w:r>
          </w:p>
        </w:tc>
        <w:tc>
          <w:tcPr>
            <w:tcW w:type="dxa" w:w="3673"/>
            <w:tcBorders>
              <w:bottom w:val="single" w:sz="6" w:space="4" w:color="D8DCE3"/>
            </w:tcBorders>
          </w:tcPr>
          <w:p>
            <w:pPr>
              <w:spacing w:after="60"/>
            </w:pPr>
            <w:r/>
            <w:r>
              <w:rPr>
                <w:rFonts w:ascii="Georgia" w:hAnsi="Georgia"/>
                <w:sz w:val="18"/>
              </w:rPr>
              <w:t>No invented facts; convert technology talk</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FR-006, FR-007</w:t>
            </w:r>
          </w:p>
        </w:tc>
      </w:tr>
      <w:tr>
        <w:tc>
          <w:tcPr>
            <w:tcW w:type="dxa" w:w="1171"/>
            <w:tcBorders>
              <w:bottom w:val="single" w:sz="6" w:space="4" w:color="D8DCE3"/>
            </w:tcBorders>
          </w:tcPr>
          <w:p>
            <w:pPr>
              <w:spacing w:after="60"/>
            </w:pPr>
            <w:r/>
            <w:r>
              <w:rPr>
                <w:rFonts w:ascii="Georgia" w:hAnsi="Georgia"/>
                <w:sz w:val="18"/>
              </w:rPr>
              <w:t>IN-004</w:t>
            </w:r>
          </w:p>
        </w:tc>
        <w:tc>
          <w:tcPr>
            <w:tcW w:type="dxa" w:w="3673"/>
            <w:tcBorders>
              <w:bottom w:val="single" w:sz="6" w:space="4" w:color="D8DCE3"/>
            </w:tcBorders>
          </w:tcPr>
          <w:p>
            <w:pPr>
              <w:spacing w:after="60"/>
            </w:pPr>
            <w:r/>
            <w:r>
              <w:rPr>
                <w:rFonts w:ascii="Georgia" w:hAnsi="Georgia"/>
                <w:sz w:val="18"/>
              </w:rPr>
              <w:t>Draft as prose, with grade, blocking defects, and refutable findings, reached from any section</w:t>
            </w:r>
          </w:p>
        </w:tc>
        <w:tc>
          <w:tcPr>
            <w:tcW w:type="dxa" w:w="1171"/>
            <w:tcBorders>
              <w:bottom w:val="single" w:sz="6" w:space="4" w:color="D8DCE3"/>
            </w:tcBorders>
          </w:tcPr>
          <w:p>
            <w:pPr>
              <w:spacing w:after="60"/>
            </w:pPr>
            <w:r/>
            <w:r>
              <w:rPr>
                <w:rFonts w:ascii="Georgia" w:hAnsi="Georgia"/>
                <w:sz w:val="18"/>
              </w:rPr>
              <w:t>ST-003</w:t>
            </w:r>
          </w:p>
        </w:tc>
        <w:tc>
          <w:tcPr>
            <w:tcW w:type="dxa" w:w="2654"/>
            <w:tcBorders>
              <w:bottom w:val="single" w:sz="6" w:space="4" w:color="D8DCE3"/>
            </w:tcBorders>
          </w:tcPr>
          <w:p>
            <w:pPr>
              <w:spacing w:after="60"/>
            </w:pPr>
            <w:r/>
            <w:r>
              <w:rPr>
                <w:rFonts w:ascii="Georgia" w:hAnsi="Georgia"/>
                <w:sz w:val="18"/>
              </w:rPr>
              <w:t>FR-008, FR-009, FR-016, FR-017, FR-018</w:t>
            </w:r>
          </w:p>
        </w:tc>
      </w:tr>
      <w:tr>
        <w:tc>
          <w:tcPr>
            <w:tcW w:type="dxa" w:w="1171"/>
            <w:tcBorders>
              <w:bottom w:val="single" w:sz="6" w:space="4" w:color="D8DCE3"/>
            </w:tcBorders>
          </w:tcPr>
          <w:p>
            <w:pPr>
              <w:spacing w:after="60"/>
            </w:pPr>
            <w:r/>
            <w:r>
              <w:rPr>
                <w:rFonts w:ascii="Georgia" w:hAnsi="Georgia"/>
                <w:sz w:val="18"/>
              </w:rPr>
              <w:t>IN-005</w:t>
            </w:r>
          </w:p>
        </w:tc>
        <w:tc>
          <w:tcPr>
            <w:tcW w:type="dxa" w:w="3673"/>
            <w:tcBorders>
              <w:bottom w:val="single" w:sz="6" w:space="4" w:color="D8DCE3"/>
            </w:tcBorders>
          </w:tcPr>
          <w:p>
            <w:pPr>
              <w:spacing w:after="60"/>
            </w:pPr>
            <w:r/>
            <w:r>
              <w:rPr>
                <w:rFonts w:ascii="Georgia" w:hAnsi="Georgia"/>
                <w:sz w:val="18"/>
              </w:rPr>
              <w:t>One question, then re-grade</w:t>
            </w:r>
          </w:p>
        </w:tc>
        <w:tc>
          <w:tcPr>
            <w:tcW w:type="dxa" w:w="1171"/>
            <w:tcBorders>
              <w:bottom w:val="single" w:sz="6" w:space="4" w:color="D8DCE3"/>
            </w:tcBorders>
          </w:tcPr>
          <w:p>
            <w:pPr>
              <w:spacing w:after="60"/>
            </w:pPr>
            <w:r/>
            <w:r>
              <w:rPr>
                <w:rFonts w:ascii="Georgia" w:hAnsi="Georgia"/>
                <w:sz w:val="18"/>
              </w:rPr>
              <w:t>ST-004</w:t>
            </w:r>
          </w:p>
        </w:tc>
        <w:tc>
          <w:tcPr>
            <w:tcW w:type="dxa" w:w="2654"/>
            <w:tcBorders>
              <w:bottom w:val="single" w:sz="6" w:space="4" w:color="D8DCE3"/>
            </w:tcBorders>
          </w:tcPr>
          <w:p>
            <w:pPr>
              <w:spacing w:after="60"/>
            </w:pPr>
            <w:r/>
            <w:r>
              <w:rPr>
                <w:rFonts w:ascii="Georgia" w:hAnsi="Georgia"/>
                <w:sz w:val="18"/>
              </w:rPr>
              <w:t>FR-010, FR-011</w:t>
            </w:r>
          </w:p>
        </w:tc>
      </w:tr>
      <w:tr>
        <w:tc>
          <w:tcPr>
            <w:tcW w:type="dxa" w:w="1171"/>
            <w:tcBorders>
              <w:bottom w:val="single" w:sz="6" w:space="4" w:color="D8DCE3"/>
            </w:tcBorders>
          </w:tcPr>
          <w:p>
            <w:pPr>
              <w:spacing w:after="60"/>
            </w:pPr>
            <w:r/>
            <w:r>
              <w:rPr>
                <w:rFonts w:ascii="Georgia" w:hAnsi="Georgia"/>
                <w:sz w:val="18"/>
              </w:rPr>
              <w:t>IN-006</w:t>
            </w:r>
          </w:p>
        </w:tc>
        <w:tc>
          <w:tcPr>
            <w:tcW w:type="dxa" w:w="3673"/>
            <w:tcBorders>
              <w:bottom w:val="single" w:sz="6" w:space="4" w:color="D8DCE3"/>
            </w:tcBorders>
          </w:tcPr>
          <w:p>
            <w:pPr>
              <w:spacing w:after="60"/>
            </w:pPr>
            <w:r/>
            <w:r>
              <w:rPr>
                <w:rFonts w:ascii="Georgia" w:hAnsi="Georgia"/>
                <w:sz w:val="18"/>
              </w:rPr>
              <w:t>Buildability review of the whole set</w:t>
            </w:r>
          </w:p>
        </w:tc>
        <w:tc>
          <w:tcPr>
            <w:tcW w:type="dxa" w:w="1171"/>
            <w:tcBorders>
              <w:bottom w:val="single" w:sz="6" w:space="4" w:color="D8DCE3"/>
            </w:tcBorders>
          </w:tcPr>
          <w:p>
            <w:pPr>
              <w:spacing w:after="60"/>
            </w:pPr>
            <w:r/>
            <w:r>
              <w:rPr>
                <w:rFonts w:ascii="Georgia" w:hAnsi="Georgia"/>
                <w:sz w:val="18"/>
              </w:rPr>
              <w:t>ST-005</w:t>
            </w:r>
          </w:p>
        </w:tc>
        <w:tc>
          <w:tcPr>
            <w:tcW w:type="dxa" w:w="2654"/>
            <w:tcBorders>
              <w:bottom w:val="single" w:sz="6" w:space="4" w:color="D8DCE3"/>
            </w:tcBorders>
          </w:tcPr>
          <w:p>
            <w:pPr>
              <w:spacing w:after="60"/>
            </w:pPr>
            <w:r/>
            <w:r>
              <w:rPr>
                <w:rFonts w:ascii="Georgia" w:hAnsi="Georgia"/>
                <w:sz w:val="18"/>
              </w:rPr>
              <w:t>FR-012</w:t>
            </w:r>
          </w:p>
        </w:tc>
      </w:tr>
      <w:tr>
        <w:tc>
          <w:tcPr>
            <w:tcW w:type="dxa" w:w="1171"/>
            <w:tcBorders>
              <w:bottom w:val="single" w:sz="6" w:space="4" w:color="D8DCE3"/>
            </w:tcBorders>
          </w:tcPr>
          <w:p>
            <w:pPr>
              <w:spacing w:after="60"/>
            </w:pPr>
            <w:r/>
            <w:r>
              <w:rPr>
                <w:rFonts w:ascii="Georgia" w:hAnsi="Georgia"/>
                <w:sz w:val="18"/>
              </w:rPr>
              <w:t>IN-007</w:t>
            </w:r>
          </w:p>
        </w:tc>
        <w:tc>
          <w:tcPr>
            <w:tcW w:type="dxa" w:w="3673"/>
            <w:tcBorders>
              <w:bottom w:val="single" w:sz="6" w:space="4" w:color="D8DCE3"/>
            </w:tcBorders>
          </w:tcPr>
          <w:p>
            <w:pPr>
              <w:spacing w:after="60"/>
            </w:pPr>
            <w:r/>
            <w:r>
              <w:rPr>
                <w:rFonts w:ascii="Georgia" w:hAnsi="Georgia"/>
                <w:sz w:val="18"/>
              </w:rPr>
              <w:t>Approval recorded against a version</w:t>
            </w:r>
          </w:p>
        </w:tc>
        <w:tc>
          <w:tcPr>
            <w:tcW w:type="dxa" w:w="1171"/>
            <w:tcBorders>
              <w:bottom w:val="single" w:sz="6" w:space="4" w:color="D8DCE3"/>
            </w:tcBorders>
          </w:tcPr>
          <w:p>
            <w:pPr>
              <w:spacing w:after="60"/>
            </w:pPr>
            <w:r/>
            <w:r>
              <w:rPr>
                <w:rFonts w:ascii="Georgia" w:hAnsi="Georgia"/>
                <w:sz w:val="18"/>
              </w:rPr>
              <w:t>ST-006</w:t>
            </w:r>
          </w:p>
        </w:tc>
        <w:tc>
          <w:tcPr>
            <w:tcW w:type="dxa" w:w="2654"/>
            <w:tcBorders>
              <w:bottom w:val="single" w:sz="6" w:space="4" w:color="D8DCE3"/>
            </w:tcBorders>
          </w:tcPr>
          <w:p>
            <w:pPr>
              <w:spacing w:after="60"/>
            </w:pPr>
            <w:r/>
            <w:r>
              <w:rPr>
                <w:rFonts w:ascii="Georgia" w:hAnsi="Georgia"/>
                <w:sz w:val="18"/>
              </w:rPr>
              <w:t>FR-013, FR-014</w:t>
            </w:r>
          </w:p>
        </w:tc>
      </w:tr>
    </w:tbl>
    <w:p>
      <w:pPr>
        <w:spacing w:after="40"/>
      </w:pPr>
    </w:p>
    <w:p>
      <w:pPr>
        <w:pStyle w:val="Heading3"/>
      </w:pPr>
      <w:r>
        <w:t>Out of scope for R1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92"/>
        <w:gridCol w:w="4316"/>
        <w:gridCol w:w="3232"/>
      </w:tblGrid>
      <w:tr>
        <w:tc>
          <w:tcPr>
            <w:tcW w:type="dxa" w:w="1292"/>
            <w:tcBorders>
              <w:bottom w:val="single" w:sz="12" w:space="4" w:color="16181D"/>
            </w:tcBorders>
          </w:tcPr>
          <w:p>
            <w:pPr>
              <w:spacing w:after="60"/>
            </w:pPr>
            <w:r/>
            <w:r>
              <w:rPr>
                <w:rFonts w:ascii="Calibri" w:hAnsi="Calibri"/>
                <w:b/>
                <w:caps/>
                <w:color w:val="5C6370"/>
                <w:sz w:val="15"/>
              </w:rPr>
              <w:t>ID</w:t>
            </w:r>
          </w:p>
        </w:tc>
        <w:tc>
          <w:tcPr>
            <w:tcW w:type="dxa" w:w="4317"/>
            <w:tcBorders>
              <w:bottom w:val="single" w:sz="12" w:space="4" w:color="16181D"/>
            </w:tcBorders>
          </w:tcPr>
          <w:p>
            <w:pPr>
              <w:spacing w:after="60"/>
            </w:pPr>
            <w:r/>
            <w:r>
              <w:rPr>
                <w:rFonts w:ascii="Calibri" w:hAnsi="Calibri"/>
                <w:b/>
                <w:caps/>
                <w:color w:val="5C6370"/>
                <w:sz w:val="15"/>
              </w:rPr>
              <w:t>Out of scope</w:t>
            </w:r>
          </w:p>
        </w:tc>
        <w:tc>
          <w:tcPr>
            <w:tcW w:type="dxa" w:w="3233"/>
            <w:tcBorders>
              <w:bottom w:val="single" w:sz="12" w:space="4" w:color="16181D"/>
            </w:tcBorders>
          </w:tcPr>
          <w:p>
            <w:pPr>
              <w:spacing w:after="60"/>
            </w:pPr>
            <w:r/>
            <w:r>
              <w:rPr>
                <w:rFonts w:ascii="Calibri" w:hAnsi="Calibri"/>
                <w:b/>
                <w:caps/>
                <w:color w:val="5C6370"/>
                <w:sz w:val="15"/>
              </w:rPr>
              <w:t>Revisit</w:t>
            </w:r>
          </w:p>
        </w:tc>
      </w:tr>
      <w:tr>
        <w:tc>
          <w:tcPr>
            <w:tcW w:type="dxa" w:w="1292"/>
            <w:tcBorders>
              <w:bottom w:val="single" w:sz="6" w:space="4" w:color="D8DCE3"/>
            </w:tcBorders>
          </w:tcPr>
          <w:p>
            <w:pPr>
              <w:spacing w:after="60"/>
            </w:pPr>
            <w:r/>
            <w:r>
              <w:rPr>
                <w:rFonts w:ascii="Georgia" w:hAnsi="Georgia"/>
                <w:sz w:val="18"/>
              </w:rPr>
              <w:t>OUT-001</w:t>
            </w:r>
          </w:p>
        </w:tc>
        <w:tc>
          <w:tcPr>
            <w:tcW w:type="dxa" w:w="4317"/>
            <w:tcBorders>
              <w:bottom w:val="single" w:sz="6" w:space="4" w:color="D8DCE3"/>
            </w:tcBorders>
          </w:tcPr>
          <w:p>
            <w:pPr>
              <w:spacing w:after="60"/>
            </w:pPr>
            <w:r/>
            <w:r>
              <w:rPr>
                <w:rFonts w:ascii="Georgia" w:hAnsi="Georgia"/>
                <w:sz w:val="18"/>
              </w:rPr>
              <w:t>Deriving the backlog (J-002)</w:t>
            </w:r>
          </w:p>
        </w:tc>
        <w:tc>
          <w:tcPr>
            <w:tcW w:type="dxa" w:w="3233"/>
            <w:tcBorders>
              <w:bottom w:val="single" w:sz="6" w:space="4" w:color="D8DCE3"/>
            </w:tcBorders>
          </w:tcPr>
          <w:p>
            <w:pPr>
              <w:spacing w:after="60"/>
            </w:pPr>
            <w:r/>
            <w:r>
              <w:rPr>
                <w:rFonts w:ascii="Georgia" w:hAnsi="Georgia"/>
                <w:sz w:val="18"/>
              </w:rPr>
              <w:t>R2; the PRD already carries what it needs</w:t>
            </w:r>
          </w:p>
        </w:tc>
      </w:tr>
      <w:tr>
        <w:tc>
          <w:tcPr>
            <w:tcW w:type="dxa" w:w="1292"/>
            <w:tcBorders>
              <w:bottom w:val="single" w:sz="6" w:space="4" w:color="D8DCE3"/>
            </w:tcBorders>
          </w:tcPr>
          <w:p>
            <w:pPr>
              <w:spacing w:after="60"/>
            </w:pPr>
            <w:r/>
            <w:r>
              <w:rPr>
                <w:rFonts w:ascii="Georgia" w:hAnsi="Georgia"/>
                <w:sz w:val="18"/>
              </w:rPr>
              <w:t>OUT-002</w:t>
            </w:r>
          </w:p>
        </w:tc>
        <w:tc>
          <w:tcPr>
            <w:tcW w:type="dxa" w:w="4317"/>
            <w:tcBorders>
              <w:bottom w:val="single" w:sz="6" w:space="4" w:color="D8DCE3"/>
            </w:tcBorders>
          </w:tcPr>
          <w:p>
            <w:pPr>
              <w:spacing w:after="60"/>
            </w:pPr>
            <w:r/>
            <w:r>
              <w:rPr>
                <w:rFonts w:ascii="Georgia" w:hAnsi="Georgia"/>
                <w:sz w:val="18"/>
              </w:rPr>
              <w:t>Two experts on one set at once</w:t>
            </w:r>
          </w:p>
        </w:tc>
        <w:tc>
          <w:tcPr>
            <w:tcW w:type="dxa" w:w="3233"/>
            <w:tcBorders>
              <w:bottom w:val="single" w:sz="6" w:space="4" w:color="D8DCE3"/>
            </w:tcBorders>
          </w:tcPr>
          <w:p>
            <w:pPr>
              <w:spacing w:after="60"/>
            </w:pPr>
            <w:r/>
            <w:r>
              <w:rPr>
                <w:rFonts w:ascii="Georgia" w:hAnsi="Georgia"/>
                <w:sz w:val="18"/>
              </w:rPr>
              <w:t>After three real engagements</w:t>
            </w:r>
          </w:p>
        </w:tc>
      </w:tr>
      <w:tr>
        <w:tc>
          <w:tcPr>
            <w:tcW w:type="dxa" w:w="1292"/>
            <w:tcBorders>
              <w:bottom w:val="single" w:sz="6" w:space="4" w:color="D8DCE3"/>
            </w:tcBorders>
          </w:tcPr>
          <w:p>
            <w:pPr>
              <w:spacing w:after="60"/>
            </w:pPr>
            <w:r/>
            <w:r>
              <w:rPr>
                <w:rFonts w:ascii="Georgia" w:hAnsi="Georgia"/>
                <w:sz w:val="18"/>
              </w:rPr>
              <w:t>OUT-003</w:t>
            </w:r>
          </w:p>
        </w:tc>
        <w:tc>
          <w:tcPr>
            <w:tcW w:type="dxa" w:w="4317"/>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233"/>
            <w:tcBorders>
              <w:bottom w:val="single" w:sz="6" w:space="4" w:color="D8DCE3"/>
            </w:tcBorders>
          </w:tcPr>
          <w:p>
            <w:pPr>
              <w:spacing w:after="60"/>
            </w:pPr>
            <w:r/>
            <w:r>
              <w:rPr>
                <w:rFonts w:ascii="Georgia" w:hAnsi="Georgia"/>
                <w:sz w:val="18"/>
              </w:rPr>
              <w:t>When an approver asks</w:t>
            </w:r>
          </w:p>
        </w:tc>
      </w:tr>
      <w:tr>
        <w:tc>
          <w:tcPr>
            <w:tcW w:type="dxa" w:w="1292"/>
            <w:tcBorders>
              <w:bottom w:val="single" w:sz="6" w:space="4" w:color="D8DCE3"/>
            </w:tcBorders>
          </w:tcPr>
          <w:p>
            <w:pPr>
              <w:spacing w:after="60"/>
            </w:pPr>
            <w:r/>
            <w:r>
              <w:rPr>
                <w:rFonts w:ascii="Georgia" w:hAnsi="Georgia"/>
                <w:sz w:val="18"/>
              </w:rPr>
              <w:t>OUT-004</w:t>
            </w:r>
          </w:p>
        </w:tc>
        <w:tc>
          <w:tcPr>
            <w:tcW w:type="dxa" w:w="4317"/>
            <w:tcBorders>
              <w:bottom w:val="single" w:sz="6" w:space="4" w:color="D8DCE3"/>
            </w:tcBorders>
          </w:tcPr>
          <w:p>
            <w:pPr>
              <w:spacing w:after="60"/>
            </w:pPr>
            <w:r/>
            <w:r>
              <w:rPr>
                <w:rFonts w:ascii="Georgia" w:hAnsi="Georgia"/>
                <w:sz w:val="18"/>
              </w:rPr>
              <w:t>An engineering lead's own recorded confirmation</w:t>
            </w:r>
          </w:p>
        </w:tc>
        <w:tc>
          <w:tcPr>
            <w:tcW w:type="dxa" w:w="3233"/>
            <w:tcBorders>
              <w:bottom w:val="single" w:sz="6" w:space="4" w:color="D8DCE3"/>
            </w:tcBorders>
          </w:tcPr>
          <w:p>
            <w:pPr>
              <w:spacing w:after="60"/>
            </w:pPr>
            <w:r/>
            <w:r>
              <w:rPr>
                <w:rFonts w:ascii="Georgia" w:hAnsi="Georgia"/>
                <w:sz w:val="18"/>
              </w:rPr>
              <w:t>R2,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Product decision, 0.1.0 (was C-002)</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Product decision, 0.1.0 (was C-001); the session is D-001</w:t>
            </w:r>
          </w:p>
        </w:tc>
      </w:tr>
      <w:tr>
        <w:tc>
          <w:tcPr>
            <w:tcW w:type="dxa" w:w="4507"/>
            <w:tcBorders>
              <w:bottom w:val="single" w:sz="6" w:space="4" w:color="D8DCE3"/>
            </w:tcBorders>
          </w:tcPr>
          <w:p>
            <w:pPr>
              <w:spacing w:after="60"/>
            </w:pPr>
            <w:r/>
            <w:r>
              <w:rPr>
                <w:rFonts w:ascii="Georgia" w:hAnsi="Georgia"/>
                <w:sz w:val="18"/>
              </w:rPr>
              <w:t>Product teams entering a domain they do not know, in release 1</w:t>
            </w:r>
          </w:p>
        </w:tc>
        <w:tc>
          <w:tcPr>
            <w:tcW w:type="dxa" w:w="4507"/>
            <w:tcBorders>
              <w:bottom w:val="single" w:sz="6" w:space="4" w:color="D8DCE3"/>
            </w:tcBorders>
          </w:tcPr>
          <w:p>
            <w:pPr>
              <w:spacing w:after="60"/>
            </w:pPr>
            <w:r/>
            <w:r>
              <w:rPr>
                <w:rFonts w:ascii="Georgia" w:hAnsi="Georgia"/>
                <w:sz w:val="18"/>
              </w:rPr>
              <w:t>They want the domain, which prd-forge does not supply (was S-003)</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Three non-goals moved here at 0.8.1. The system-of-record and separate-application non-goals were constraints C-002 and C-001 in section 9, and the non-goal on product teams new to a domain was segment S-003 in section 2.</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establish the domain and vocabulary, and create a set with every section visible and honestly marked as not started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Teach a section, then interview on it one or two questions at a time, in the expert's own vocabulary</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Never record an invented domain fact, and convert a stated technology into the need beneath it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IN-004  </w:t>
      </w:r>
      <w:r>
        <w:rPr>
          <w:rFonts w:ascii="Calibri" w:hAnsi="Calibri"/>
          <w:b/>
          <w:sz w:val="20"/>
        </w:rPr>
        <w:t>Show the draft as prose, with its grade and every blocking defect named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IN-005  </w:t>
      </w:r>
      <w:r>
        <w:rPr>
          <w:rFonts w:ascii="Calibri" w:hAnsi="Calibri"/>
          <w:b/>
          <w:sz w:val="20"/>
        </w:rPr>
        <w:t>Ask one question that most improves the section, and re-grade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IN-006  </w:t>
      </w:r>
      <w:r>
        <w:rPr>
          <w:rFonts w:ascii="Calibri" w:hAnsi="Calibri"/>
          <w:b/>
          <w:sz w:val="20"/>
        </w:rPr>
        <w:t>Review the whole set as an engineer would, and report what cannot be built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IN-007  </w:t>
      </w:r>
      <w:r>
        <w:rPr>
          <w:rFonts w:ascii="Calibri" w:hAnsi="Calibri"/>
          <w:b/>
          <w:sz w:val="20"/>
        </w:rPr>
        <w:t>Record an approval, with conditions, against a named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The PRD must already carry what J-002 needs, which FR-012 checks, so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a single expert's path is proven on three real engagements.</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with J-002. Release 1 gives the expert the buildability report (FR-012) so the gaps are found before anyone estimates; a named lead's own confirmation is a second person's time, which R1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an approver asks for one; PER-003 reads a handful of pages, which the documents already are.</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5C6370"/>
          <w:sz w:val="15"/>
        </w:rPr>
        <w:t>draft · 81/100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Ten of the 18 are </w:t>
      </w:r>
      <w:r>
        <w:rPr>
          <w:rFonts w:ascii="Consolas" w:hAnsi="Consolas"/>
          <w:sz w:val="19"/>
        </w:rPr>
        <w:t>must</w:t>
      </w:r>
      <w:r>
        <w:rPr>
          <w:rFonts w:ascii="Georgia" w:hAnsi="Georgia"/>
        </w:rPr>
        <w:t xml:space="preserve">: without any one of them, REL-001 does not do what it promises. The eight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w:t>
      </w:r>
    </w:p>
    <w:p>
      <w:r>
        <w:rPr>
          <w:rFonts w:ascii="Georgia" w:hAnsi="Georgia"/>
        </w:rPr>
        <w:t xml:space="preserve">Six of the </w:t>
      </w:r>
      <w:r>
        <w:rPr>
          <w:rFonts w:ascii="Consolas" w:hAnsi="Consolas"/>
          <w:sz w:val="19"/>
        </w:rPr>
        <w:t>must</w:t>
      </w:r>
      <w:r>
        <w:rPr>
          <w:rFonts w:ascii="Georgia" w:hAnsi="Georgia"/>
        </w:rPr>
        <w:t xml:space="preserve"> requirements wait on an open question in section 12. FR-004, FR-009, FR-010, and FR-012 wait on Q-009, where the rubric and the derivability checks live and who owns them. FR-010 also waits on Q-007, whether the working order is right and how looping back to the journeys feels, because Q-007 blocks ST-004. FR-013 waits on Q-005, whether a sponsor accepts a specification that carries a grade. FR-014 waits on Q-011, how an approver records a decision.</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pPr>
        <w:pStyle w:val="Heading3"/>
      </w:pPr>
      <w:r>
        <w:t>A judgement call worth challenging</w:t>
      </w:r>
    </w:p>
    <w:p>
      <w:r>
        <w:rPr>
          <w:rFonts w:ascii="Georgia" w:hAnsi="Georgia"/>
        </w:rPr>
        <w:t>FR-002, FR-008 and FR-013 refer to "the set", "the section", "a table row" and "the root document". A reviewer may read those as naming an output format and therefore failing test 5. The judgement taken here is that a written specification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reviewer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pending, when the expert asks where things stand, then they see all seventeen section documents with each one's state, and the pending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something the section needs still unanswered, or that could be written into the section in two ways differing in meaning, when it is received, then a follow-up is asked about that answer before the next topic is opened.</w:t>
            </w:r>
          </w:p>
          <w:p>
            <w:pPr>
              <w:spacing w:after="40"/>
              <w:ind w:left="173"/>
            </w:pPr>
            <w:r>
              <w:rPr>
                <w:rFonts w:ascii="Georgia" w:hAnsi="Georgia"/>
                <w:sz w:val="19"/>
              </w:rPr>
              <w:t>• Given an expert whose answers would already score the section 70 or more with no blocking defects, when further questions remain unasked on the list, then the interview stops rather than continuing to the end of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pass its rubric,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 and no id, priority or link is stated two different ways in the set.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reviews it, then every item is shown in a sentence or in a table row under named column headings, and no item is shown only as a bare list of names and values.</w:t>
            </w:r>
          </w:p>
          <w:p>
            <w:pPr>
              <w:spacing w:after="40"/>
              <w:ind w:left="173"/>
            </w:pPr>
            <w:r>
              <w:rPr>
                <w:rFonts w:ascii="Georgia" w:hAnsi="Georgia"/>
                <w:sz w:val="19"/>
              </w:rPr>
              <w:t>• Given an id, priority or link that two places in the set state differently, when the section is read, then the expert is told of the difference rather than it being silently resolved.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specification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review reports it, then the requirement is named and the document is quoted.</w:t>
            </w:r>
          </w:p>
          <w:p>
            <w:pPr>
              <w:spacing w:after="40"/>
              <w:ind w:left="173"/>
            </w:pPr>
            <w:r>
              <w:rPr>
                <w:rFonts w:ascii="Georgia" w:hAnsi="Georgia"/>
                <w:sz w:val="19"/>
              </w:rPr>
              <w:t>• Given an open question that blocks a `must` requirement, when the review runs, then that requirement's wait on the question is reported.</w:t>
            </w:r>
          </w:p>
          <w:p>
            <w:pPr>
              <w:spacing w:after="40"/>
              <w:ind w:left="173"/>
            </w:pPr>
            <w:r>
              <w:rPr>
                <w:rFonts w:ascii="Georgia" w:hAnsi="Georgia"/>
                <w:sz w:val="19"/>
              </w:rPr>
              <w:t>• Given a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disputes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After they ask to refresh, what they read is the set as it now stands.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within 10 seconds that section shows its new text and its new state.</w:t>
            </w:r>
          </w:p>
          <w:p>
            <w:pPr>
              <w:spacing w:after="40"/>
              <w:ind w:left="173"/>
            </w:pPr>
            <w:r>
              <w:rPr>
                <w:rFonts w:ascii="Georgia" w:hAnsi="Georgia"/>
                <w:sz w:val="19"/>
              </w:rPr>
              <w:t>• Given a section that is graded again while the set is open, when they ask to refresh, then within 10 seconds the new grade is shown.</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84/100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in PlantUML Salt for the printed PRD.</w:t>
      </w:r>
    </w:p>
    <w:p>
      <w:pPr>
        <w:pStyle w:val="Heading3"/>
      </w:pPr>
      <w:r>
        <w:t>WF-001 The set with one section open</w:t>
      </w:r>
    </w:p>
    <w:p>
      <w:r>
        <w:rPr>
          <w:rFonts w:ascii="Georgia" w:hAnsi="Georgia"/>
        </w:rPr>
        <w:t>Illustration, not a design. Illustrates FR-002, FR-008, FR-017, and FR-018. PER-001 sees it at ST-003.</w:t>
      </w:r>
    </w:p>
    <w:p>
      <w:r>
        <w:rPr>
          <w:rFonts w:ascii="Georgia" w:hAnsi="Georgia"/>
        </w:rPr>
        <w:t>The expert reads a drafted section with the whole set beside it. Every graded section shows its score and its blocking count, so what is weak is visible without opening anything.</w:t>
      </w:r>
    </w:p>
    <w:p>
      <w:pPr>
        <w:jc w:val="center"/>
      </w:pPr>
      <w:r>
        <w:drawing>
          <wp:inline xmlns:a="http://schemas.openxmlformats.org/drawingml/2006/main" xmlns:pic="http://schemas.openxmlformats.org/drawingml/2006/picture">
            <wp:extent cx="4229100" cy="3873499"/>
            <wp:docPr id="20" name="Picture 20"/>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1" name="Picture 21"/>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2" name="Picture 22"/>
            <wp:cNvGraphicFramePr>
              <a:graphicFrameLocks noChangeAspect="1"/>
            </wp:cNvGraphicFramePr>
            <a:graphic>
              <a:graphicData uri="http://schemas.openxmlformats.org/drawingml/2006/picture">
                <pic:pic>
                  <pic:nvPicPr>
                    <pic:cNvPr id="0" name="WF-003.png"/>
                    <pic:cNvPicPr/>
                  </pic:nvPicPr>
                  <pic:blipFill>
                    <a:blip r:embed="rId27"/>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3" name="Picture 23"/>
            <wp:cNvGraphicFramePr>
              <a:graphicFrameLocks noChangeAspect="1"/>
            </wp:cNvGraphicFramePr>
            <a:graphic>
              <a:graphicData uri="http://schemas.openxmlformats.org/drawingml/2006/picture">
                <pic:pic>
                  <pic:nvPicPr>
                    <pic:cNvPr id="0" name="WF-004.png"/>
                    <pic:cNvPicPr/>
                  </pic:nvPicPr>
                  <pic:blipFill>
                    <a:blip r:embed="rId28"/>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4" name="Picture 24"/>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25" name="Picture 25"/>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26" name="Picture 26"/>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27" name="Picture 2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review that finds work missing: two release-line stages have no must requirement behind them. The gaps are named first, before anything else in the review.</w:t>
      </w:r>
    </w:p>
    <w:p>
      <w:pPr>
        <w:jc w:val="center"/>
      </w:pPr>
      <w:r>
        <w:drawing>
          <wp:inline xmlns:a="http://schemas.openxmlformats.org/drawingml/2006/main" xmlns:pic="http://schemas.openxmlformats.org/drawingml/2006/picture">
            <wp:extent cx="4533900" cy="2273300"/>
            <wp:docPr id="28" name="Picture 28"/>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and FR-009.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29" name="Picture 29"/>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was reviewed,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reviewer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82/100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is the only requirement here that needs people rather than instruments to measure, and it is the one most likely to be skipped.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simultaneous users are the host's load and not ours;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host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Q-011.</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organisation keeps the documents, and the answer must be that we impose no expiry on them.</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for one section's grade to be reported, measured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passes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sessions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organisation keeps the specifications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organisation's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organisation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organisation's own store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FR-014</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organisation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organisation's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and check each against the organisation's own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 · 100/100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decision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4528147" cy="7315200"/>
            <wp:docPr id="30" name="Picture 30"/>
            <wp:cNvGraphicFramePr>
              <a:graphicFrameLocks noChangeAspect="1"/>
            </wp:cNvGraphicFramePr>
            <a:graphic>
              <a:graphicData uri="http://schemas.openxmlformats.org/drawingml/2006/picture">
                <pic:pic>
                  <pic:nvPicPr>
                    <pic:cNvPr id="0" name="decision-rights.png"/>
                    <pic:cNvPicPr/>
                  </pic:nvPicPr>
                  <pic:blipFill>
                    <a:blip r:embed="rId29"/>
                    <a:stretch>
                      <a:fillRect/>
                    </a:stretch>
                  </pic:blipFill>
                  <pic:spPr>
                    <a:xfrm>
                      <a:off x="0" y="0"/>
                      <a:ext cx="4528147"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1"/>
        <w:gridCol w:w="2908"/>
        <w:gridCol w:w="1251"/>
        <w:gridCol w:w="1609"/>
        <w:gridCol w:w="1564"/>
      </w:tblGrid>
      <w:tr>
        <w:tc>
          <w:tcPr>
            <w:tcW w:type="dxa" w:w="1162"/>
            <w:tcBorders>
              <w:bottom w:val="single" w:sz="12" w:space="4" w:color="16181D"/>
            </w:tcBorders>
          </w:tcPr>
          <w:p>
            <w:pPr>
              <w:spacing w:after="60"/>
            </w:pPr>
            <w:r/>
            <w:r>
              <w:rPr>
                <w:rFonts w:ascii="Calibri" w:hAnsi="Calibri"/>
                <w:b/>
                <w:caps/>
                <w:color w:val="5C6370"/>
                <w:sz w:val="15"/>
              </w:rPr>
              <w:t>ID</w:t>
            </w:r>
          </w:p>
        </w:tc>
        <w:tc>
          <w:tcPr>
            <w:tcW w:type="dxa" w:w="2909"/>
            <w:tcBorders>
              <w:bottom w:val="single" w:sz="12" w:space="4" w:color="16181D"/>
            </w:tcBorders>
          </w:tcPr>
          <w:p>
            <w:pPr>
              <w:spacing w:after="60"/>
            </w:pPr>
            <w:r/>
            <w:r>
              <w:rPr>
                <w:rFonts w:ascii="Calibri" w:hAnsi="Calibri"/>
                <w:b/>
                <w:caps/>
                <w:color w:val="5C6370"/>
                <w:sz w:val="15"/>
              </w:rPr>
              <w:t>Decision</w:t>
            </w:r>
          </w:p>
        </w:tc>
        <w:tc>
          <w:tcPr>
            <w:tcW w:type="dxa" w:w="1251"/>
            <w:tcBorders>
              <w:bottom w:val="single" w:sz="12" w:space="4" w:color="16181D"/>
            </w:tcBorders>
          </w:tcPr>
          <w:p>
            <w:pPr>
              <w:spacing w:after="60"/>
            </w:pPr>
            <w:r/>
            <w:r>
              <w:rPr>
                <w:rFonts w:ascii="Calibri" w:hAnsi="Calibri"/>
                <w:b/>
                <w:caps/>
                <w:color w:val="5C6370"/>
                <w:sz w:val="15"/>
              </w:rPr>
              <w:t>Approver</w:t>
            </w:r>
          </w:p>
        </w:tc>
        <w:tc>
          <w:tcPr>
            <w:tcW w:type="dxa" w:w="1610"/>
            <w:tcBorders>
              <w:bottom w:val="single" w:sz="12" w:space="4" w:color="16181D"/>
            </w:tcBorders>
          </w:tcPr>
          <w:p>
            <w:pPr>
              <w:spacing w:after="60"/>
            </w:pPr>
            <w:r/>
            <w:r>
              <w:rPr>
                <w:rFonts w:ascii="Calibri" w:hAnsi="Calibri"/>
                <w:b/>
                <w:caps/>
                <w:color w:val="5C6370"/>
                <w:sz w:val="15"/>
              </w:rPr>
              <w:t>Agent may decide</w:t>
            </w:r>
          </w:p>
        </w:tc>
        <w:tc>
          <w:tcPr>
            <w:tcW w:type="dxa" w:w="1565"/>
            <w:tcBorders>
              <w:bottom w:val="single" w:sz="12" w:space="4" w:color="16181D"/>
            </w:tcBorders>
          </w:tcPr>
          <w:p>
            <w:pPr>
              <w:spacing w:after="60"/>
            </w:pPr>
            <w:r/>
            <w:r>
              <w:rPr>
                <w:rFonts w:ascii="Calibri" w:hAnsi="Calibri"/>
                <w:b/>
                <w:caps/>
                <w:color w:val="5C6370"/>
                <w:sz w:val="15"/>
              </w:rPr>
              <w:t>Never delegated</w:t>
            </w:r>
          </w:p>
        </w:tc>
      </w:tr>
      <w:tr>
        <w:tc>
          <w:tcPr>
            <w:tcW w:type="dxa" w:w="1162"/>
            <w:tcBorders>
              <w:bottom w:val="single" w:sz="6" w:space="4" w:color="D8DCE3"/>
            </w:tcBorders>
          </w:tcPr>
          <w:p>
            <w:pPr>
              <w:spacing w:after="60"/>
            </w:pPr>
            <w:r/>
            <w:r>
              <w:rPr>
                <w:rFonts w:ascii="Georgia" w:hAnsi="Georgia"/>
                <w:sz w:val="18"/>
              </w:rPr>
              <w:t>TR-001</w:t>
            </w:r>
          </w:p>
        </w:tc>
        <w:tc>
          <w:tcPr>
            <w:tcW w:type="dxa" w:w="2909"/>
            <w:tcBorders>
              <w:bottom w:val="single" w:sz="6" w:space="4" w:color="D8DCE3"/>
            </w:tcBorders>
          </w:tcPr>
          <w:p>
            <w:pPr>
              <w:spacing w:after="60"/>
            </w:pPr>
            <w:r/>
            <w:r>
              <w:rPr>
                <w:rFonts w:ascii="Georgia" w:hAnsi="Georgia"/>
                <w:sz w:val="18"/>
              </w:rPr>
              <w:t>Approve a PRD for a release</w:t>
            </w:r>
          </w:p>
        </w:tc>
        <w:tc>
          <w:tcPr>
            <w:tcW w:type="dxa" w:w="1251"/>
            <w:tcBorders>
              <w:bottom w:val="single" w:sz="6" w:space="4" w:color="D8DCE3"/>
            </w:tcBorders>
          </w:tcPr>
          <w:p>
            <w:pPr>
              <w:spacing w:after="60"/>
            </w:pPr>
            <w:r/>
            <w:r>
              <w:rPr>
                <w:rFonts w:ascii="Georgia" w:hAnsi="Georgia"/>
                <w:sz w:val="18"/>
              </w:rPr>
              <w:t>PER-003</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TR-002</w:t>
            </w:r>
          </w:p>
        </w:tc>
        <w:tc>
          <w:tcPr>
            <w:tcW w:type="dxa" w:w="2909"/>
            <w:tcBorders>
              <w:bottom w:val="single" w:sz="6" w:space="4" w:color="D8DCE3"/>
            </w:tcBorders>
          </w:tcPr>
          <w:p>
            <w:pPr>
              <w:spacing w:after="60"/>
            </w:pPr>
            <w:r/>
            <w:r>
              <w:rPr>
                <w:rFonts w:ascii="Georgia" w:hAnsi="Georgia"/>
                <w:sz w:val="18"/>
              </w:rPr>
              <w:t>Set a section to final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TR-003</w:t>
            </w:r>
          </w:p>
        </w:tc>
        <w:tc>
          <w:tcPr>
            <w:tcW w:type="dxa" w:w="2909"/>
            <w:tcBorders>
              <w:bottom w:val="single" w:sz="6" w:space="4" w:color="D8DCE3"/>
            </w:tcBorders>
          </w:tcPr>
          <w:p>
            <w:pPr>
              <w:spacing w:after="60"/>
            </w:pPr>
            <w:r/>
            <w:r>
              <w:rPr>
                <w:rFonts w:ascii="Georgia" w:hAnsi="Georgia"/>
                <w:sz w:val="18"/>
              </w:rPr>
              <w:t>Accept or refute a section's score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TR-004</w:t>
            </w:r>
          </w:p>
        </w:tc>
        <w:tc>
          <w:tcPr>
            <w:tcW w:type="dxa" w:w="2909"/>
            <w:tcBorders>
              <w:bottom w:val="single" w:sz="6" w:space="4" w:color="D8DCE3"/>
            </w:tcBorders>
          </w:tcPr>
          <w:p>
            <w:pPr>
              <w:spacing w:after="60"/>
            </w:pPr>
            <w:r/>
            <w:r>
              <w:rPr>
                <w:rFonts w:ascii="Georgia" w:hAnsi="Georgia"/>
                <w:sz w:val="18"/>
              </w:rPr>
              <w:t>Decide scope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TR-005</w:t>
            </w:r>
          </w:p>
        </w:tc>
        <w:tc>
          <w:tcPr>
            <w:tcW w:type="dxa" w:w="2909"/>
            <w:tcBorders>
              <w:bottom w:val="single" w:sz="6" w:space="4" w:color="D8DCE3"/>
            </w:tcBorders>
          </w:tcPr>
          <w:p>
            <w:pPr>
              <w:spacing w:after="60"/>
            </w:pPr>
            <w:r/>
            <w:r>
              <w:rPr>
                <w:rFonts w:ascii="Georgia" w:hAnsi="Georgia"/>
                <w:sz w:val="18"/>
              </w:rPr>
              <w:t>State a domain fact as true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TR-006</w:t>
            </w:r>
          </w:p>
        </w:tc>
        <w:tc>
          <w:tcPr>
            <w:tcW w:type="dxa" w:w="2909"/>
            <w:tcBorders>
              <w:bottom w:val="single" w:sz="6" w:space="4" w:color="D8DCE3"/>
            </w:tcBorders>
          </w:tcPr>
          <w:p>
            <w:pPr>
              <w:spacing w:after="60"/>
            </w:pPr>
            <w:r/>
            <w:r>
              <w:rPr>
                <w:rFonts w:ascii="Georgia" w:hAnsi="Georgia"/>
                <w:sz w:val="18"/>
              </w:rPr>
              <w:t>Judge buildability, and report the gaps</w:t>
            </w:r>
          </w:p>
        </w:tc>
        <w:tc>
          <w:tcPr>
            <w:tcW w:type="dxa" w:w="1251"/>
            <w:tcBorders>
              <w:bottom w:val="single" w:sz="6" w:space="4" w:color="D8DCE3"/>
            </w:tcBorders>
          </w:tcPr>
          <w:p>
            <w:pPr>
              <w:spacing w:after="60"/>
            </w:pPr>
            <w:r/>
            <w:r>
              <w:rPr>
                <w:rFonts w:ascii="Georgia" w:hAnsi="Georgia"/>
                <w:sz w:val="18"/>
              </w:rPr>
              <w:t>PER-002</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TR-007</w:t>
            </w:r>
          </w:p>
        </w:tc>
        <w:tc>
          <w:tcPr>
            <w:tcW w:type="dxa" w:w="2909"/>
            <w:tcBorders>
              <w:bottom w:val="single" w:sz="6" w:space="4" w:color="D8DCE3"/>
            </w:tcBorders>
          </w:tcPr>
          <w:p>
            <w:pPr>
              <w:spacing w:after="60"/>
            </w:pPr>
            <w:r/>
            <w:r>
              <w:rPr>
                <w:rFonts w:ascii="Georgia" w:hAnsi="Georgia"/>
                <w:sz w:val="18"/>
              </w:rPr>
              <w:t>Decide the domain's own terms</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TR-008</w:t>
            </w:r>
          </w:p>
        </w:tc>
        <w:tc>
          <w:tcPr>
            <w:tcW w:type="dxa" w:w="2909"/>
            <w:tcBorders>
              <w:bottom w:val="single" w:sz="6" w:space="4" w:color="D8DCE3"/>
            </w:tcBorders>
          </w:tcPr>
          <w:p>
            <w:pPr>
              <w:spacing w:after="60"/>
            </w:pPr>
            <w:r/>
            <w:r>
              <w:rPr>
                <w:rFonts w:ascii="Georgia" w:hAnsi="Georgia"/>
                <w:sz w:val="18"/>
              </w:rPr>
              <w:t>Decide a section's interview is finished</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TR-009</w:t>
            </w:r>
          </w:p>
        </w:tc>
        <w:tc>
          <w:tcPr>
            <w:tcW w:type="dxa" w:w="2909"/>
            <w:tcBorders>
              <w:bottom w:val="single" w:sz="6" w:space="4" w:color="D8DCE3"/>
            </w:tcBorders>
          </w:tcPr>
          <w:p>
            <w:pPr>
              <w:spacing w:after="60"/>
            </w:pPr>
            <w:r/>
            <w:r>
              <w:rPr>
                <w:rFonts w:ascii="Georgia" w:hAnsi="Georgia"/>
                <w:sz w:val="18"/>
              </w:rPr>
              <w:t>Decide a section may be left at draft</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TR-010</w:t>
            </w:r>
          </w:p>
        </w:tc>
        <w:tc>
          <w:tcPr>
            <w:tcW w:type="dxa" w:w="2909"/>
            <w:tcBorders>
              <w:bottom w:val="single" w:sz="6" w:space="4" w:color="D8DCE3"/>
            </w:tcBorders>
          </w:tcPr>
          <w:p>
            <w:pPr>
              <w:spacing w:after="60"/>
            </w:pPr>
            <w:r/>
            <w:r>
              <w:rPr>
                <w:rFonts w:ascii="Georgia" w:hAnsi="Georgia"/>
                <w:sz w:val="18"/>
              </w:rPr>
              <w:t>Decide the set is ready to offer for approval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TR-011</w:t>
            </w:r>
          </w:p>
        </w:tc>
        <w:tc>
          <w:tcPr>
            <w:tcW w:type="dxa" w:w="2909"/>
            <w:tcBorders>
              <w:bottom w:val="single" w:sz="6" w:space="4" w:color="D8DCE3"/>
            </w:tcBorders>
          </w:tcPr>
          <w:p>
            <w:pPr>
              <w:spacing w:after="60"/>
            </w:pPr>
            <w:r/>
            <w:r>
              <w:rPr>
                <w:rFonts w:ascii="Georgia" w:hAnsi="Georgia"/>
                <w:sz w:val="18"/>
              </w:rPr>
              <w:t>Decide a backlog can be mapped</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TR-012</w:t>
            </w:r>
          </w:p>
        </w:tc>
        <w:tc>
          <w:tcPr>
            <w:tcW w:type="dxa" w:w="2909"/>
            <w:tcBorders>
              <w:bottom w:val="single" w:sz="6" w:space="4" w:color="D8DCE3"/>
            </w:tcBorders>
          </w:tcPr>
          <w:p>
            <w:pPr>
              <w:spacing w:after="60"/>
            </w:pPr>
            <w:r/>
            <w:r>
              <w:rPr>
                <w:rFonts w:ascii="Georgia" w:hAnsi="Georgia"/>
                <w:sz w:val="18"/>
              </w:rPr>
              <w:t>Decide which epics come first</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TR-013</w:t>
            </w:r>
          </w:p>
        </w:tc>
        <w:tc>
          <w:tcPr>
            <w:tcW w:type="dxa" w:w="2909"/>
            <w:tcBorders>
              <w:bottom w:val="single" w:sz="6" w:space="4" w:color="D8DCE3"/>
            </w:tcBorders>
          </w:tcPr>
          <w:p>
            <w:pPr>
              <w:spacing w:after="60"/>
            </w:pPr>
            <w:r/>
            <w:r>
              <w:rPr>
                <w:rFonts w:ascii="Georgia" w:hAnsi="Georgia"/>
                <w:sz w:val="18"/>
              </w:rPr>
              <w:t>Accept or correct a drafted section</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 the expert accepting that a draft says what they meant — which is distinct from scoring it (TR-003), from leaving it at draft (TR-009) and from setting it final (TR-002).</w:t>
      </w:r>
    </w:p>
    <w:p>
      <w:pPr>
        <w:pStyle w:val="Heading3"/>
      </w:pPr>
      <w:r>
        <w:t>The shape of the trust boundary</w:t>
      </w:r>
    </w:p>
    <w:p>
      <w:r>
        <w:rPr>
          <w:rFonts w:ascii="Georgia" w:hAnsi="Georgia"/>
        </w:rPr>
        <w:t xml:space="preserve">Only three of thirteen are delegable, and all three are </w:t>
      </w:r>
      <w:r>
        <w:rPr>
          <w:rFonts w:ascii="Georgia" w:hAnsi="Georgia"/>
          <w:b/>
        </w:rPr>
        <w:t>assessments</w:t>
      </w:r>
      <w:r>
        <w:rPr>
          <w:rFonts w:ascii="Georgia" w:hAnsi="Georgia"/>
        </w:rPr>
        <w:t>, not decisions: TR-003 produces a document's score,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 approving, finalising, choosing scope, asserting a fact —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 a solo expert, or an internal tool with no PER-003 — the expert approves their own set under this rule, shown the same evidence, and the change log records that no separate approver existed. A set is never treated as approved because its score is high.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Accept or refute a section's score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refute any finding by pointing at the document; a finding the document does not support is dropped (FR-016). While the expert is away a grade stands unaccepted, and the section does not advance.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below full marks on a dimension, when it is reported, then a quotation from the document is given for it.</w:t>
            </w:r>
          </w:p>
          <w:p>
            <w:pPr>
              <w:spacing w:after="40"/>
              <w:ind w:left="173"/>
            </w:pPr>
            <w:r>
              <w:rPr>
                <w:rFonts w:ascii="Georgia" w:hAnsi="Georgia"/>
                <w:sz w:val="19"/>
              </w:rPr>
              <w:t>• Given a finding the expert refutes and the document does not support, when it is checked, then it is dropped and the expert is told it was dropped.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an owner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 · 75/100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Organisations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sessions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2"/>
        <w:gridCol w:w="3292"/>
        <w:gridCol w:w="1180"/>
        <w:gridCol w:w="1180"/>
        <w:gridCol w:w="1708"/>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3293"/>
            <w:tcBorders>
              <w:bottom w:val="single" w:sz="12" w:space="4" w:color="16181D"/>
            </w:tcBorders>
          </w:tcPr>
          <w:p>
            <w:pPr>
              <w:spacing w:after="60"/>
            </w:pPr>
            <w:r/>
            <w:r>
              <w:rPr>
                <w:rFonts w:ascii="Calibri" w:hAnsi="Calibri"/>
                <w:b/>
                <w:caps/>
                <w:color w:val="5C6370"/>
                <w:sz w:val="15"/>
              </w:rPr>
              <w:t>Risk</w:t>
            </w:r>
          </w:p>
        </w:tc>
        <w:tc>
          <w:tcPr>
            <w:tcW w:type="dxa" w:w="1181"/>
            <w:tcBorders>
              <w:bottom w:val="single" w:sz="12" w:space="4" w:color="16181D"/>
            </w:tcBorders>
          </w:tcPr>
          <w:p>
            <w:pPr>
              <w:spacing w:after="60"/>
            </w:pPr>
            <w:r/>
            <w:r>
              <w:rPr>
                <w:rFonts w:ascii="Calibri" w:hAnsi="Calibri"/>
                <w:b/>
                <w:caps/>
                <w:color w:val="5C6370"/>
                <w:sz w:val="15"/>
              </w:rPr>
              <w:t>L</w:t>
            </w:r>
          </w:p>
        </w:tc>
        <w:tc>
          <w:tcPr>
            <w:tcW w:type="dxa" w:w="1181"/>
            <w:tcBorders>
              <w:bottom w:val="single" w:sz="12" w:space="4" w:color="16181D"/>
            </w:tcBorders>
          </w:tcPr>
          <w:p>
            <w:pPr>
              <w:spacing w:after="60"/>
            </w:pPr>
            <w:r/>
            <w:r>
              <w:rPr>
                <w:rFonts w:ascii="Calibri" w:hAnsi="Calibri"/>
                <w:b/>
                <w:caps/>
                <w:color w:val="5C6370"/>
                <w:sz w:val="15"/>
              </w:rPr>
              <w:t>I</w:t>
            </w:r>
          </w:p>
        </w:tc>
        <w:tc>
          <w:tcPr>
            <w:tcW w:type="dxa" w:w="1709"/>
            <w:tcBorders>
              <w:bottom w:val="single" w:sz="12" w:space="4" w:color="16181D"/>
            </w:tcBorders>
          </w:tcPr>
          <w:p>
            <w:pPr>
              <w:spacing w:after="60"/>
            </w:pPr>
            <w:r/>
            <w:r>
              <w:rPr>
                <w:rFonts w:ascii="Calibri" w:hAnsi="Calibri"/>
                <w:b/>
                <w:caps/>
                <w:color w:val="5C6370"/>
                <w:sz w:val="15"/>
              </w:rPr>
              <w:t>Owner</w:t>
            </w:r>
          </w:p>
        </w:tc>
      </w:tr>
      <w:tr>
        <w:tc>
          <w:tcPr>
            <w:tcW w:type="dxa" w:w="1133"/>
            <w:tcBorders>
              <w:bottom w:val="single" w:sz="6" w:space="4" w:color="D8DCE3"/>
            </w:tcBorders>
          </w:tcPr>
          <w:p>
            <w:pPr>
              <w:spacing w:after="60"/>
            </w:pPr>
            <w:r/>
            <w:r>
              <w:rPr>
                <w:rFonts w:ascii="Georgia" w:hAnsi="Georgia"/>
                <w:sz w:val="18"/>
              </w:rPr>
              <w:t>R-001</w:t>
            </w:r>
          </w:p>
        </w:tc>
        <w:tc>
          <w:tcPr>
            <w:tcW w:type="dxa" w:w="3293"/>
            <w:tcBorders>
              <w:bottom w:val="single" w:sz="6" w:space="4" w:color="D8DCE3"/>
            </w:tcBorders>
          </w:tcPr>
          <w:p>
            <w:pPr>
              <w:spacing w:after="60"/>
            </w:pPr>
            <w:r/>
            <w:r>
              <w:rPr>
                <w:rFonts w:ascii="Georgia" w:hAnsi="Georgia"/>
                <w:sz w:val="18"/>
              </w:rPr>
              <w:t>High score becomes false assurance</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R-002</w:t>
            </w:r>
          </w:p>
        </w:tc>
        <w:tc>
          <w:tcPr>
            <w:tcW w:type="dxa" w:w="3293"/>
            <w:tcBorders>
              <w:bottom w:val="single" w:sz="6" w:space="4" w:color="D8DCE3"/>
            </w:tcBorders>
          </w:tcPr>
          <w:p>
            <w:pPr>
              <w:spacing w:after="60"/>
            </w:pPr>
            <w:r/>
            <w:r>
              <w:rPr>
                <w:rFonts w:ascii="Georgia" w:hAnsi="Georgia"/>
                <w:sz w:val="18"/>
              </w:rPr>
              <w:t>Unsupported findings destroy trust in all findings</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R-003</w:t>
            </w:r>
          </w:p>
        </w:tc>
        <w:tc>
          <w:tcPr>
            <w:tcW w:type="dxa" w:w="3293"/>
            <w:tcBorders>
              <w:bottom w:val="single" w:sz="6" w:space="4" w:color="D8DCE3"/>
            </w:tcBorders>
          </w:tcPr>
          <w:p>
            <w:pPr>
              <w:spacing w:after="60"/>
            </w:pPr>
            <w:r/>
            <w:r>
              <w:rPr>
                <w:rFonts w:ascii="Georgia" w:hAnsi="Georgia"/>
                <w:sz w:val="18"/>
              </w:rPr>
              <w:t>A beautifully graded PRD for the wrong product</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R-004</w:t>
            </w:r>
          </w:p>
        </w:tc>
        <w:tc>
          <w:tcPr>
            <w:tcW w:type="dxa" w:w="3293"/>
            <w:tcBorders>
              <w:bottom w:val="single" w:sz="6" w:space="4" w:color="D8DCE3"/>
            </w:tcBorders>
          </w:tcPr>
          <w:p>
            <w:pPr>
              <w:spacing w:after="60"/>
            </w:pPr>
            <w:r/>
            <w:r>
              <w:rPr>
                <w:rFonts w:ascii="Georgia" w:hAnsi="Georgia"/>
                <w:sz w:val="18"/>
              </w:rPr>
              <w:t>Interview too long; sets abandoned</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medium</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R-005</w:t>
            </w:r>
          </w:p>
        </w:tc>
        <w:tc>
          <w:tcPr>
            <w:tcW w:type="dxa" w:w="3293"/>
            <w:tcBorders>
              <w:bottom w:val="single" w:sz="6" w:space="4" w:color="D8DCE3"/>
            </w:tcBorders>
          </w:tcPr>
          <w:p>
            <w:pPr>
              <w:spacing w:after="60"/>
            </w:pPr>
            <w:r/>
            <w:r>
              <w:rPr>
                <w:rFonts w:ascii="Georgia" w:hAnsi="Georgia"/>
                <w:sz w:val="18"/>
              </w:rPr>
              <w:t>A version change strands an expert's set</w:t>
            </w:r>
          </w:p>
        </w:tc>
        <w:tc>
          <w:tcPr>
            <w:tcW w:type="dxa" w:w="1181"/>
            <w:tcBorders>
              <w:bottom w:val="single" w:sz="6" w:space="4" w:color="D8DCE3"/>
            </w:tcBorders>
          </w:tcPr>
          <w:p>
            <w:pPr>
              <w:spacing w:after="60"/>
            </w:pPr>
            <w:r/>
            <w:r>
              <w:rPr>
                <w:rFonts w:ascii="Georgia" w:hAnsi="Georgia"/>
                <w:sz w:val="18"/>
              </w:rPr>
              <w:t>low</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That is stated here rather than hidden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05"/>
        <w:gridCol w:w="2930"/>
        <w:gridCol w:w="1868"/>
        <w:gridCol w:w="1317"/>
        <w:gridCol w:w="1274"/>
      </w:tblGrid>
      <w:tr>
        <w:tc>
          <w:tcPr>
            <w:tcW w:type="dxa" w:w="1105"/>
            <w:tcBorders>
              <w:bottom w:val="single" w:sz="12" w:space="4" w:color="16181D"/>
            </w:tcBorders>
          </w:tcPr>
          <w:p>
            <w:pPr>
              <w:spacing w:after="60"/>
            </w:pPr>
            <w:r/>
            <w:r>
              <w:rPr>
                <w:rFonts w:ascii="Calibri" w:hAnsi="Calibri"/>
                <w:b/>
                <w:caps/>
                <w:color w:val="5C6370"/>
                <w:sz w:val="15"/>
              </w:rPr>
              <w:t>ID</w:t>
            </w:r>
          </w:p>
        </w:tc>
        <w:tc>
          <w:tcPr>
            <w:tcW w:type="dxa" w:w="2930"/>
            <w:tcBorders>
              <w:bottom w:val="single" w:sz="12" w:space="4" w:color="16181D"/>
            </w:tcBorders>
          </w:tcPr>
          <w:p>
            <w:pPr>
              <w:spacing w:after="60"/>
            </w:pPr>
            <w:r/>
            <w:r>
              <w:rPr>
                <w:rFonts w:ascii="Calibri" w:hAnsi="Calibri"/>
                <w:b/>
                <w:caps/>
                <w:color w:val="5C6370"/>
                <w:sz w:val="15"/>
              </w:rPr>
              <w:t>Need</w:t>
            </w:r>
          </w:p>
        </w:tc>
        <w:tc>
          <w:tcPr>
            <w:tcW w:type="dxa" w:w="1869"/>
            <w:tcBorders>
              <w:bottom w:val="single" w:sz="12" w:space="4" w:color="16181D"/>
            </w:tcBorders>
          </w:tcPr>
          <w:p>
            <w:pPr>
              <w:spacing w:after="60"/>
            </w:pPr>
            <w:r/>
            <w:r>
              <w:rPr>
                <w:rFonts w:ascii="Calibri" w:hAnsi="Calibri"/>
                <w:b/>
                <w:caps/>
                <w:color w:val="5C6370"/>
                <w:sz w:val="15"/>
              </w:rPr>
              <w:t>From</w:t>
            </w:r>
          </w:p>
        </w:tc>
        <w:tc>
          <w:tcPr>
            <w:tcW w:type="dxa" w:w="1317"/>
            <w:tcBorders>
              <w:bottom w:val="single" w:sz="12" w:space="4" w:color="16181D"/>
            </w:tcBorders>
          </w:tcPr>
          <w:p>
            <w:pPr>
              <w:spacing w:after="60"/>
            </w:pPr>
            <w:r/>
            <w:r>
              <w:rPr>
                <w:rFonts w:ascii="Calibri" w:hAnsi="Calibri"/>
                <w:b/>
                <w:caps/>
                <w:color w:val="5C6370"/>
                <w:sz w:val="15"/>
              </w:rPr>
              <w:t>By</w:t>
            </w:r>
          </w:p>
        </w:tc>
        <w:tc>
          <w:tcPr>
            <w:tcW w:type="dxa" w:w="1275"/>
            <w:tcBorders>
              <w:bottom w:val="single" w:sz="12" w:space="4" w:color="16181D"/>
            </w:tcBorders>
          </w:tcPr>
          <w:p>
            <w:pPr>
              <w:spacing w:after="60"/>
            </w:pPr>
            <w:r/>
            <w:r>
              <w:rPr>
                <w:rFonts w:ascii="Calibri" w:hAnsi="Calibri"/>
                <w:b/>
                <w:caps/>
                <w:color w:val="5C6370"/>
                <w:sz w:val="15"/>
              </w:rPr>
              <w:t>Status</w:t>
            </w:r>
          </w:p>
        </w:tc>
      </w:tr>
      <w:tr>
        <w:tc>
          <w:tcPr>
            <w:tcW w:type="dxa" w:w="1105"/>
            <w:tcBorders>
              <w:bottom w:val="single" w:sz="6" w:space="4" w:color="D8DCE3"/>
            </w:tcBorders>
          </w:tcPr>
          <w:p>
            <w:pPr>
              <w:spacing w:after="60"/>
            </w:pPr>
            <w:r/>
            <w:r>
              <w:rPr>
                <w:rFonts w:ascii="Georgia" w:hAnsi="Georgia"/>
                <w:sz w:val="18"/>
              </w:rPr>
              <w:t>D-001</w:t>
            </w:r>
          </w:p>
        </w:tc>
        <w:tc>
          <w:tcPr>
            <w:tcW w:type="dxa" w:w="2930"/>
            <w:tcBorders>
              <w:bottom w:val="single" w:sz="6" w:space="4" w:color="D8DCE3"/>
            </w:tcBorders>
          </w:tcPr>
          <w:p>
            <w:pPr>
              <w:spacing w:after="60"/>
            </w:pPr>
            <w:r/>
            <w:r>
              <w:rPr>
                <w:rFonts w:ascii="Georgia" w:hAnsi="Georgia"/>
                <w:sz w:val="18"/>
              </w:rPr>
              <w:t>An assistant session able to carry the interview</w:t>
            </w:r>
          </w:p>
        </w:tc>
        <w:tc>
          <w:tcPr>
            <w:tcW w:type="dxa" w:w="1869"/>
            <w:tcBorders>
              <w:bottom w:val="single" w:sz="6" w:space="4" w:color="D8DCE3"/>
            </w:tcBorders>
          </w:tcPr>
          <w:p>
            <w:pPr>
              <w:spacing w:after="60"/>
            </w:pPr>
            <w:r/>
            <w:r>
              <w:rPr>
                <w:rFonts w:ascii="Georgia" w:hAnsi="Georgia"/>
                <w:sz w:val="18"/>
              </w:rPr>
              <w:t>The customer's platform</w:t>
            </w:r>
          </w:p>
        </w:tc>
        <w:tc>
          <w:tcPr>
            <w:tcW w:type="dxa" w:w="1317"/>
            <w:tcBorders>
              <w:bottom w:val="single" w:sz="6" w:space="4" w:color="D8DCE3"/>
            </w:tcBorders>
          </w:tcPr>
          <w:p>
            <w:pPr>
              <w:spacing w:after="60"/>
            </w:pPr>
            <w:r/>
            <w:r>
              <w:rPr>
                <w:rFonts w:ascii="Georgia" w:hAnsi="Georgia"/>
                <w:sz w:val="18"/>
              </w:rPr>
              <w:t>2027-01-31</w:t>
            </w:r>
          </w:p>
        </w:tc>
        <w:tc>
          <w:tcPr>
            <w:tcW w:type="dxa" w:w="1275"/>
            <w:tcBorders>
              <w:bottom w:val="single" w:sz="6" w:space="4" w:color="D8DCE3"/>
            </w:tcBorders>
          </w:tcPr>
          <w:p>
            <w:pPr>
              <w:spacing w:after="60"/>
            </w:pPr>
            <w:r/>
            <w:r>
              <w:rPr>
                <w:rFonts w:ascii="Georgia" w:hAnsi="Georgia"/>
                <w:sz w:val="18"/>
              </w:rPr>
              <w:t>committed</w:t>
            </w:r>
          </w:p>
        </w:tc>
      </w:tr>
      <w:tr>
        <w:tc>
          <w:tcPr>
            <w:tcW w:type="dxa" w:w="1105"/>
            <w:tcBorders>
              <w:bottom w:val="single" w:sz="6" w:space="4" w:color="D8DCE3"/>
            </w:tcBorders>
          </w:tcPr>
          <w:p>
            <w:pPr>
              <w:spacing w:after="60"/>
            </w:pPr>
            <w:r/>
            <w:r>
              <w:rPr>
                <w:rFonts w:ascii="Georgia" w:hAnsi="Georgia"/>
                <w:sz w:val="18"/>
              </w:rPr>
              <w:t>D-002</w:t>
            </w:r>
          </w:p>
        </w:tc>
        <w:tc>
          <w:tcPr>
            <w:tcW w:type="dxa" w:w="2930"/>
            <w:tcBorders>
              <w:bottom w:val="single" w:sz="6" w:space="4" w:color="D8DCE3"/>
            </w:tcBorders>
          </w:tcPr>
          <w:p>
            <w:pPr>
              <w:spacing w:after="60"/>
            </w:pPr>
            <w:r/>
            <w:r>
              <w:rPr>
                <w:rFonts w:ascii="Georgia" w:hAnsi="Georgia"/>
                <w:sz w:val="18"/>
              </w:rPr>
              <w:t>10 observed first-time experts</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r>
        <w:tc>
          <w:tcPr>
            <w:tcW w:type="dxa" w:w="1105"/>
            <w:tcBorders>
              <w:bottom w:val="single" w:sz="6" w:space="4" w:color="D8DCE3"/>
            </w:tcBorders>
          </w:tcPr>
          <w:p>
            <w:pPr>
              <w:spacing w:after="60"/>
            </w:pPr>
            <w:r/>
            <w:r>
              <w:rPr>
                <w:rFonts w:ascii="Georgia" w:hAnsi="Georgia"/>
                <w:sz w:val="18"/>
              </w:rPr>
              <w:t>D-003</w:t>
            </w:r>
          </w:p>
        </w:tc>
        <w:tc>
          <w:tcPr>
            <w:tcW w:type="dxa" w:w="2930"/>
            <w:tcBorders>
              <w:bottom w:val="single" w:sz="6" w:space="4" w:color="D8DCE3"/>
            </w:tcBorders>
          </w:tcPr>
          <w:p>
            <w:pPr>
              <w:spacing w:after="60"/>
            </w:pPr>
            <w:r/>
            <w:r>
              <w:rPr>
                <w:rFonts w:ascii="Georgia" w:hAnsi="Georgia"/>
                <w:sz w:val="18"/>
              </w:rPr>
              <w:t>3 engineering leads to read a set cold</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bl>
    <w:p>
      <w:pPr>
        <w:spacing w:after="40"/>
      </w:pPr>
    </w:p>
    <w:p>
      <w:r>
        <w:rPr>
          <w:rFonts w:ascii="Georgia" w:hAnsi="Georgia"/>
        </w:rPr>
        <w:t>D-002 and D-003 are both merely requested, and both are dated on R1's target day in section 13. That is a real schedule problem: R1 ships on the day the assumptions it rests on are due to be tested, so it cannot use the results. Recorded, not resolved.</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sessions with 10 first-time experts, counting where they stop - the same sessions NFR-005 uses.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sections 3 and 7 are measuring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sessions, whether the expert answers the one question or moves on regardless.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Organisations will let a specification for their product be drafted inside an assistant session.</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most of section 7's assumptions about immediacy.</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 this risk is not closed, and a reviewer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puts the sections that unlock the others first, so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 · 79/100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3"/>
        <w:gridCol w:w="2942"/>
        <w:gridCol w:w="1302"/>
        <w:gridCol w:w="1234"/>
        <w:gridCol w:w="1952"/>
      </w:tblGrid>
      <w:tr>
        <w:tc>
          <w:tcPr>
            <w:tcW w:type="dxa" w:w="1064"/>
            <w:tcBorders>
              <w:bottom w:val="single" w:sz="12" w:space="4" w:color="16181D"/>
            </w:tcBorders>
          </w:tcPr>
          <w:p>
            <w:pPr>
              <w:spacing w:after="60"/>
            </w:pPr>
            <w:r/>
            <w:r>
              <w:rPr>
                <w:rFonts w:ascii="Calibri" w:hAnsi="Calibri"/>
                <w:b/>
                <w:caps/>
                <w:color w:val="5C6370"/>
                <w:sz w:val="15"/>
              </w:rPr>
              <w:t>ID</w:t>
            </w:r>
          </w:p>
        </w:tc>
        <w:tc>
          <w:tcPr>
            <w:tcW w:type="dxa" w:w="2943"/>
            <w:tcBorders>
              <w:bottom w:val="single" w:sz="12" w:space="4" w:color="16181D"/>
            </w:tcBorders>
          </w:tcPr>
          <w:p>
            <w:pPr>
              <w:spacing w:after="60"/>
            </w:pPr>
            <w:r/>
            <w:r>
              <w:rPr>
                <w:rFonts w:ascii="Calibri" w:hAnsi="Calibri"/>
                <w:b/>
                <w:caps/>
                <w:color w:val="5C6370"/>
                <w:sz w:val="15"/>
              </w:rPr>
              <w:t>Question</w:t>
            </w:r>
          </w:p>
        </w:tc>
        <w:tc>
          <w:tcPr>
            <w:tcW w:type="dxa" w:w="1303"/>
            <w:tcBorders>
              <w:bottom w:val="single" w:sz="12" w:space="4" w:color="16181D"/>
            </w:tcBorders>
          </w:tcPr>
          <w:p>
            <w:pPr>
              <w:spacing w:after="60"/>
            </w:pPr>
            <w:r/>
            <w:r>
              <w:rPr>
                <w:rFonts w:ascii="Calibri" w:hAnsi="Calibri"/>
                <w:b/>
                <w:caps/>
                <w:color w:val="5C6370"/>
                <w:sz w:val="15"/>
              </w:rPr>
              <w:t>Decider</w:t>
            </w:r>
          </w:p>
        </w:tc>
        <w:tc>
          <w:tcPr>
            <w:tcW w:type="dxa" w:w="1234"/>
            <w:tcBorders>
              <w:bottom w:val="single" w:sz="12" w:space="4" w:color="16181D"/>
            </w:tcBorders>
          </w:tcPr>
          <w:p>
            <w:pPr>
              <w:spacing w:after="60"/>
            </w:pPr>
            <w:r/>
            <w:r>
              <w:rPr>
                <w:rFonts w:ascii="Calibri" w:hAnsi="Calibri"/>
                <w:b/>
                <w:caps/>
                <w:color w:val="5C6370"/>
                <w:sz w:val="15"/>
              </w:rPr>
              <w:t>By</w:t>
            </w:r>
          </w:p>
        </w:tc>
        <w:tc>
          <w:tcPr>
            <w:tcW w:type="dxa" w:w="1952"/>
            <w:tcBorders>
              <w:bottom w:val="single" w:sz="12" w:space="4" w:color="16181D"/>
            </w:tcBorders>
          </w:tcPr>
          <w:p>
            <w:pPr>
              <w:spacing w:after="60"/>
            </w:pPr>
            <w:r/>
            <w:r>
              <w:rPr>
                <w:rFonts w:ascii="Calibri" w:hAnsi="Calibri"/>
                <w:b/>
                <w:caps/>
                <w:color w:val="5C6370"/>
                <w:sz w:val="15"/>
              </w:rPr>
              <w:t>Blocks</w:t>
            </w:r>
          </w:p>
        </w:tc>
      </w:tr>
      <w:tr>
        <w:tc>
          <w:tcPr>
            <w:tcW w:type="dxa" w:w="1064"/>
            <w:tcBorders>
              <w:bottom w:val="single" w:sz="6" w:space="4" w:color="D8DCE3"/>
            </w:tcBorders>
          </w:tcPr>
          <w:p>
            <w:pPr>
              <w:spacing w:after="60"/>
            </w:pPr>
            <w:r/>
            <w:r>
              <w:rPr>
                <w:rFonts w:ascii="Georgia" w:hAnsi="Georgia"/>
                <w:sz w:val="18"/>
              </w:rPr>
              <w:t>Q-001</w:t>
            </w:r>
          </w:p>
        </w:tc>
        <w:tc>
          <w:tcPr>
            <w:tcW w:type="dxa" w:w="2943"/>
            <w:tcBorders>
              <w:bottom w:val="single" w:sz="6" w:space="4" w:color="D8DCE3"/>
            </w:tcBorders>
          </w:tcPr>
          <w:p>
            <w:pPr>
              <w:spacing w:after="60"/>
            </w:pPr>
            <w:r/>
            <w:r>
              <w:rPr>
                <w:rFonts w:ascii="Georgia" w:hAnsi="Georgia"/>
                <w:sz w:val="18"/>
              </w:rPr>
              <w:t>Today's first-pass buildability rate</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O-001</w:t>
            </w:r>
          </w:p>
        </w:tc>
      </w:tr>
      <w:tr>
        <w:tc>
          <w:tcPr>
            <w:tcW w:type="dxa" w:w="1064"/>
            <w:tcBorders>
              <w:bottom w:val="single" w:sz="6" w:space="4" w:color="D8DCE3"/>
            </w:tcBorders>
          </w:tcPr>
          <w:p>
            <w:pPr>
              <w:spacing w:after="60"/>
            </w:pPr>
            <w:r/>
            <w:r>
              <w:rPr>
                <w:rFonts w:ascii="Georgia" w:hAnsi="Georgia"/>
                <w:sz w:val="18"/>
              </w:rPr>
              <w:t>Q-002</w:t>
            </w:r>
          </w:p>
        </w:tc>
        <w:tc>
          <w:tcPr>
            <w:tcW w:type="dxa" w:w="2943"/>
            <w:tcBorders>
              <w:bottom w:val="single" w:sz="6" w:space="4" w:color="D8DCE3"/>
            </w:tcBorders>
          </w:tcPr>
          <w:p>
            <w:pPr>
              <w:spacing w:after="60"/>
            </w:pPr>
            <w:r/>
            <w:r>
              <w:rPr>
                <w:rFonts w:ascii="Georgia" w:hAnsi="Georgia"/>
                <w:sz w:val="18"/>
              </w:rPr>
              <w:t>Today's idea-to-approval elapsed time</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O-002</w:t>
            </w:r>
          </w:p>
        </w:tc>
      </w:tr>
      <w:tr>
        <w:tc>
          <w:tcPr>
            <w:tcW w:type="dxa" w:w="1064"/>
            <w:tcBorders>
              <w:bottom w:val="single" w:sz="6" w:space="4" w:color="D8DCE3"/>
            </w:tcBorders>
          </w:tcPr>
          <w:p>
            <w:pPr>
              <w:spacing w:after="60"/>
            </w:pPr>
            <w:r/>
            <w:r>
              <w:rPr>
                <w:rFonts w:ascii="Georgia" w:hAnsi="Georgia"/>
                <w:sz w:val="18"/>
              </w:rPr>
              <w:t>Q-003</w:t>
            </w:r>
          </w:p>
        </w:tc>
        <w:tc>
          <w:tcPr>
            <w:tcW w:type="dxa" w:w="2943"/>
            <w:tcBorders>
              <w:bottom w:val="single" w:sz="6" w:space="4" w:color="D8DCE3"/>
            </w:tcBorders>
          </w:tcPr>
          <w:p>
            <w:pPr>
              <w:spacing w:after="60"/>
            </w:pPr>
            <w:r/>
            <w:r>
              <w:rPr>
                <w:rFonts w:ascii="Georgia" w:hAnsi="Georgia"/>
                <w:sz w:val="18"/>
              </w:rPr>
              <w:t>Today's share of testable requirements</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O-003</w:t>
            </w:r>
          </w:p>
        </w:tc>
      </w:tr>
      <w:tr>
        <w:tc>
          <w:tcPr>
            <w:tcW w:type="dxa" w:w="1064"/>
            <w:tcBorders>
              <w:bottom w:val="single" w:sz="6" w:space="4" w:color="D8DCE3"/>
            </w:tcBorders>
          </w:tcPr>
          <w:p>
            <w:pPr>
              <w:spacing w:after="60"/>
            </w:pPr>
            <w:r/>
            <w:r>
              <w:rPr>
                <w:rFonts w:ascii="Georgia" w:hAnsi="Georgia"/>
                <w:sz w:val="18"/>
              </w:rPr>
              <w:t>Q-004</w:t>
            </w:r>
          </w:p>
        </w:tc>
        <w:tc>
          <w:tcPr>
            <w:tcW w:type="dxa" w:w="2943"/>
            <w:tcBorders>
              <w:bottom w:val="single" w:sz="6" w:space="4" w:color="D8DCE3"/>
            </w:tcBorders>
          </w:tcPr>
          <w:p>
            <w:pPr>
              <w:spacing w:after="60"/>
            </w:pPr>
            <w:r/>
            <w:r>
              <w:rPr>
                <w:rFonts w:ascii="Georgia" w:hAnsi="Georgia"/>
                <w:sz w:val="18"/>
              </w:rPr>
              <w:t>Segment sizes, and which converts</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2027-06-30</w:t>
            </w:r>
          </w:p>
        </w:tc>
        <w:tc>
          <w:tcPr>
            <w:tcW w:type="dxa" w:w="1952"/>
            <w:tcBorders>
              <w:bottom w:val="single" w:sz="6" w:space="4" w:color="D8DCE3"/>
            </w:tcBorders>
          </w:tcPr>
          <w:p>
            <w:pPr>
              <w:spacing w:after="60"/>
            </w:pPr>
            <w:r/>
            <w:r>
              <w:rPr>
                <w:rFonts w:ascii="Georgia" w:hAnsi="Georgia"/>
                <w:sz w:val="18"/>
              </w:rPr>
              <w:t>S-001, S-002</w:t>
            </w:r>
          </w:p>
        </w:tc>
      </w:tr>
      <w:tr>
        <w:tc>
          <w:tcPr>
            <w:tcW w:type="dxa" w:w="1064"/>
            <w:tcBorders>
              <w:bottom w:val="single" w:sz="6" w:space="4" w:color="D8DCE3"/>
            </w:tcBorders>
          </w:tcPr>
          <w:p>
            <w:pPr>
              <w:spacing w:after="60"/>
            </w:pPr>
            <w:r/>
            <w:r>
              <w:rPr>
                <w:rFonts w:ascii="Georgia" w:hAnsi="Georgia"/>
                <w:sz w:val="18"/>
              </w:rPr>
              <w:t>Q-005</w:t>
            </w:r>
          </w:p>
        </w:tc>
        <w:tc>
          <w:tcPr>
            <w:tcW w:type="dxa" w:w="2943"/>
            <w:tcBorders>
              <w:bottom w:val="single" w:sz="6" w:space="4" w:color="D8DCE3"/>
            </w:tcBorders>
          </w:tcPr>
          <w:p>
            <w:pPr>
              <w:spacing w:after="60"/>
            </w:pPr>
            <w:r/>
            <w:r>
              <w:rPr>
                <w:rFonts w:ascii="Georgia" w:hAnsi="Georgia"/>
                <w:sz w:val="18"/>
              </w:rPr>
              <w:t>Will a sponsor accept a graded specification</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FR-013, TR-001</w:t>
            </w:r>
          </w:p>
        </w:tc>
      </w:tr>
      <w:tr>
        <w:tc>
          <w:tcPr>
            <w:tcW w:type="dxa" w:w="1064"/>
            <w:tcBorders>
              <w:bottom w:val="single" w:sz="6" w:space="4" w:color="D8DCE3"/>
            </w:tcBorders>
          </w:tcPr>
          <w:p>
            <w:pPr>
              <w:spacing w:after="60"/>
            </w:pPr>
            <w:r/>
            <w:r>
              <w:rPr>
                <w:rFonts w:ascii="Georgia" w:hAnsi="Georgia"/>
                <w:sz w:val="18"/>
              </w:rPr>
              <w:t>Q-006</w:t>
            </w:r>
          </w:p>
        </w:tc>
        <w:tc>
          <w:tcPr>
            <w:tcW w:type="dxa" w:w="2943"/>
            <w:tcBorders>
              <w:bottom w:val="single" w:sz="6" w:space="4" w:color="D8DCE3"/>
            </w:tcBorders>
          </w:tcPr>
          <w:p>
            <w:pPr>
              <w:spacing w:after="60"/>
            </w:pPr>
            <w:r/>
            <w:r>
              <w:rPr>
                <w:rFonts w:ascii="Georgia" w:hAnsi="Georgia"/>
                <w:sz w:val="18"/>
              </w:rPr>
              <w:t>Sections completed per sitting, and where they stop</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R-004, NFR-005</w:t>
            </w:r>
          </w:p>
        </w:tc>
      </w:tr>
      <w:tr>
        <w:tc>
          <w:tcPr>
            <w:tcW w:type="dxa" w:w="1064"/>
            <w:tcBorders>
              <w:bottom w:val="single" w:sz="6" w:space="4" w:color="D8DCE3"/>
            </w:tcBorders>
          </w:tcPr>
          <w:p>
            <w:pPr>
              <w:spacing w:after="60"/>
            </w:pPr>
            <w:r/>
            <w:r>
              <w:rPr>
                <w:rFonts w:ascii="Georgia" w:hAnsi="Georgia"/>
                <w:sz w:val="18"/>
              </w:rPr>
              <w:t>Q-007</w:t>
            </w:r>
          </w:p>
        </w:tc>
        <w:tc>
          <w:tcPr>
            <w:tcW w:type="dxa" w:w="2943"/>
            <w:tcBorders>
              <w:bottom w:val="single" w:sz="6" w:space="4" w:color="D8DCE3"/>
            </w:tcBorders>
          </w:tcPr>
          <w:p>
            <w:pPr>
              <w:spacing w:after="60"/>
            </w:pPr>
            <w:r/>
            <w:r>
              <w:rPr>
                <w:rFonts w:ascii="Georgia" w:hAnsi="Georgia"/>
                <w:sz w:val="18"/>
              </w:rPr>
              <w:t>Is the working order right, and how does looping back feel</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ST-004</w:t>
            </w:r>
          </w:p>
        </w:tc>
      </w:tr>
      <w:tr>
        <w:tc>
          <w:tcPr>
            <w:tcW w:type="dxa" w:w="1064"/>
            <w:tcBorders>
              <w:bottom w:val="single" w:sz="6" w:space="4" w:color="D8DCE3"/>
            </w:tcBorders>
          </w:tcPr>
          <w:p>
            <w:pPr>
              <w:spacing w:after="60"/>
            </w:pPr>
            <w:r/>
            <w:r>
              <w:rPr>
                <w:rFonts w:ascii="Georgia" w:hAnsi="Georgia"/>
                <w:sz w:val="18"/>
              </w:rPr>
              <w:t>Q-008</w:t>
            </w:r>
          </w:p>
        </w:tc>
        <w:tc>
          <w:tcPr>
            <w:tcW w:type="dxa" w:w="2943"/>
            <w:tcBorders>
              <w:bottom w:val="single" w:sz="6" w:space="4" w:color="D8DCE3"/>
            </w:tcBorders>
          </w:tcPr>
          <w:p>
            <w:pPr>
              <w:spacing w:after="60"/>
            </w:pPr>
            <w:r/>
            <w:r>
              <w:rPr>
                <w:rFonts w:ascii="Georgia" w:hAnsi="Georgia"/>
                <w:sz w:val="18"/>
              </w:rPr>
              <w:t>Disciplined or incomplete, to an engineering lead</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A-003</w:t>
            </w:r>
          </w:p>
        </w:tc>
      </w:tr>
      <w:tr>
        <w:tc>
          <w:tcPr>
            <w:tcW w:type="dxa" w:w="1064"/>
            <w:tcBorders>
              <w:bottom w:val="single" w:sz="6" w:space="4" w:color="D8DCE3"/>
            </w:tcBorders>
          </w:tcPr>
          <w:p>
            <w:pPr>
              <w:spacing w:after="60"/>
            </w:pPr>
            <w:r/>
            <w:r>
              <w:rPr>
                <w:rFonts w:ascii="Georgia" w:hAnsi="Georgia"/>
                <w:sz w:val="18"/>
              </w:rPr>
              <w:t>Q-009</w:t>
            </w:r>
          </w:p>
        </w:tc>
        <w:tc>
          <w:tcPr>
            <w:tcW w:type="dxa" w:w="2943"/>
            <w:tcBorders>
              <w:bottom w:val="single" w:sz="6" w:space="4" w:color="D8DCE3"/>
            </w:tcBorders>
          </w:tcPr>
          <w:p>
            <w:pPr>
              <w:spacing w:after="60"/>
            </w:pPr>
            <w:r/>
            <w:r>
              <w:rPr>
                <w:rFonts w:ascii="Georgia" w:hAnsi="Georgia"/>
                <w:sz w:val="18"/>
              </w:rPr>
              <w:t>Where the rubric and the checks live, and who owns them</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FR-004, FR-009..FR-012, NFR-007</w:t>
            </w:r>
          </w:p>
        </w:tc>
      </w:tr>
      <w:tr>
        <w:tc>
          <w:tcPr>
            <w:tcW w:type="dxa" w:w="1064"/>
            <w:tcBorders>
              <w:bottom w:val="single" w:sz="6" w:space="4" w:color="D8DCE3"/>
            </w:tcBorders>
          </w:tcPr>
          <w:p>
            <w:pPr>
              <w:spacing w:after="60"/>
            </w:pPr>
            <w:r/>
            <w:r>
              <w:rPr>
                <w:rFonts w:ascii="Georgia" w:hAnsi="Georgia"/>
                <w:sz w:val="18"/>
              </w:rPr>
              <w:t>Q-010</w:t>
            </w:r>
          </w:p>
        </w:tc>
        <w:tc>
          <w:tcPr>
            <w:tcW w:type="dxa" w:w="2943"/>
            <w:tcBorders>
              <w:bottom w:val="single" w:sz="6" w:space="4" w:color="D8DCE3"/>
            </w:tcBorders>
          </w:tcPr>
          <w:p>
            <w:pPr>
              <w:spacing w:after="60"/>
            </w:pPr>
            <w:r/>
            <w:r>
              <w:rPr>
                <w:rFonts w:ascii="Georgia" w:hAnsi="Georgia"/>
                <w:sz w:val="18"/>
              </w:rPr>
              <w:t>Where an answer lives before its section is drafted</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FR-015, NFR-011</w:t>
            </w:r>
          </w:p>
        </w:tc>
      </w:tr>
      <w:tr>
        <w:tc>
          <w:tcPr>
            <w:tcW w:type="dxa" w:w="1064"/>
            <w:tcBorders>
              <w:bottom w:val="single" w:sz="6" w:space="4" w:color="D8DCE3"/>
            </w:tcBorders>
          </w:tcPr>
          <w:p>
            <w:pPr>
              <w:spacing w:after="60"/>
            </w:pPr>
            <w:r/>
            <w:r>
              <w:rPr>
                <w:rFonts w:ascii="Georgia" w:hAnsi="Georgia"/>
                <w:sz w:val="18"/>
              </w:rPr>
              <w:t>Q-011</w:t>
            </w:r>
          </w:p>
        </w:tc>
        <w:tc>
          <w:tcPr>
            <w:tcW w:type="dxa" w:w="2943"/>
            <w:tcBorders>
              <w:bottom w:val="single" w:sz="6" w:space="4" w:color="D8DCE3"/>
            </w:tcBorders>
          </w:tcPr>
          <w:p>
            <w:pPr>
              <w:spacing w:after="60"/>
            </w:pPr>
            <w:r/>
            <w:r>
              <w:rPr>
                <w:rFonts w:ascii="Georgia" w:hAnsi="Georgia"/>
                <w:sz w:val="18"/>
              </w:rPr>
              <w:t>How an approver records a decision, and who owns NFR-006/012</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2027-02-28</w:t>
            </w:r>
          </w:p>
        </w:tc>
        <w:tc>
          <w:tcPr>
            <w:tcW w:type="dxa" w:w="1952"/>
            <w:tcBorders>
              <w:bottom w:val="single" w:sz="6" w:space="4" w:color="D8DCE3"/>
            </w:tcBorders>
          </w:tcPr>
          <w:p>
            <w:pPr>
              <w:spacing w:after="60"/>
            </w:pPr>
            <w:r/>
            <w:r>
              <w:rPr>
                <w:rFonts w:ascii="Georgia" w:hAnsi="Georgia"/>
                <w:sz w:val="18"/>
              </w:rPr>
              <w:t>FR-014, NFR-006, NFR-012</w:t>
            </w:r>
          </w:p>
        </w:tc>
      </w:tr>
    </w:tbl>
    <w:p>
      <w:pPr>
        <w:spacing w:after="40"/>
      </w:pPr>
    </w:p>
    <w:p>
      <w:pPr>
        <w:pStyle w:val="Heading3"/>
      </w:pPr>
      <w:r>
        <w:t>The three that matter most</w:t>
      </w:r>
    </w:p>
    <w:p>
      <w:r>
        <w:rPr>
          <w:rFonts w:ascii="Georgia" w:hAnsi="Georgia"/>
          <w:b/>
        </w:rPr>
        <w:t>Q-001 to Q-003 are the baselines for all three objectives.</w:t>
      </w:r>
      <w:r>
        <w:rPr>
          <w:rFonts w:ascii="Georgia" w:hAnsi="Georgia"/>
        </w:rPr>
        <w:t xml:space="preserve"> Until they are answered, section 3's targets are intentions. Nothing should be committed to a plan on the strength of them.</w:t>
      </w:r>
    </w:p>
    <w:p>
      <w:r>
        <w:rPr>
          <w:rFonts w:ascii="Georgia" w:hAnsi="Georgia"/>
          <w:b/>
        </w:rPr>
        <w:t>Q-009, Q-010 and Q-011 came from the buildability review at 0.2.0</w:t>
      </w:r>
      <w:r>
        <w:rPr>
          <w:rFonts w:ascii="Georgia" w:hAnsi="Georgia"/>
        </w:rPr>
        <w:t xml:space="preserve">, and all three block </w:t>
      </w:r>
      <w:r>
        <w:rPr>
          <w:rFonts w:ascii="Consolas" w:hAnsi="Consolas"/>
          <w:sz w:val="19"/>
        </w:rPr>
        <w:t>must</w:t>
      </w:r>
      <w:r>
        <w:rPr>
          <w:rFonts w:ascii="Georgia" w:hAnsi="Georgia"/>
        </w:rPr>
        <w:t xml:space="preserve"> requirements on the release line. Q-009 is the largest: four requirements are written against a rubric whose shape the set defines but whose content it does not contain, so two of the six release-line stages can be scaffolded and not finished until it is answered. Q-010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It was dated after the release it blocks until 0.2.0 moved it to 2027-01-31; it is a two-day question and there was no defence for asking it late. If showing a sponsor a grade reduces their confidence rather than raising it, then FR-013 is wrong and the grading becomes an author's private tool rather than part of the approval. That is a cheap two-day question and it should be asked early.</w:t>
      </w:r>
    </w:p>
    <w:p>
      <w:r>
        <w:rPr>
          <w:rFonts w:ascii="Georgia" w:hAnsi="Georgia"/>
          <w:b/>
        </w:rPr>
        <w:t>Q-008 tests test 5.</w:t>
      </w:r>
      <w:r>
        <w:rPr>
          <w:rFonts w:ascii="Georgia" w:hAnsi="Georgia"/>
        </w:rPr>
        <w:t xml:space="preserve"> If engineering leads read the absence of technology as incompleteness, the discipline this whole product enforces is a liability, and A-003 fails.</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engagements,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long does it take today, in working days, from a product idea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first discussion to approval for five recent engagements.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organisations are in each segment in section 2, and which segment actually converts?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then compare against the first ten conversations. Time-boxed to 5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a sponsor accept a specification that carries a machine-produced grade, or does the grade reduce their confidence rather than raise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 the rubric and the eleven derivability checks live, who owns them, and how is a set told which version it was graded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they ship as documents of the product, name their owner, and decide whether a grade records the version it was made against. Time-boxed to 2 days. Until it is answered, ST-003 and ST-004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does an answer live between the moment the expert gives it and the moment the section is drafted, given A-005, that content is retained nowhere outside the documents, and given that NFR-004 requires the set readable with no part of the product running?</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an in-progress interview is itself a document of the set, or whether answers before a draft are not retained at all and FR-015 holds only within a session.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 and who owns NFR-006's accessibility and NFR-012's access control, which describe things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p>
            <w:pPr>
              <w:spacing w:after="40"/>
              <w:ind w:left="173"/>
            </w:pPr>
            <w:r>
              <w:rPr>
                <w:rFonts w:ascii="Georgia" w:hAnsi="Georgia"/>
                <w:sz w:val="19"/>
              </w:rPr>
              <w:t>• NFR-006</w:t>
            </w:r>
          </w:p>
          <w:p>
            <w:pPr>
              <w:spacing w:after="40"/>
              <w:ind w:left="173"/>
            </w:pP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Walk one approval end to end with a real sponsor and record every step they take that the product does not provide.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sections will an expert complete in one sitting before stopping, and which section do they stop at?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p>
            <w:pPr>
              <w:spacing w:after="40"/>
              <w:ind w:left="173"/>
            </w:pPr>
            <w:r>
              <w:rPr>
                <w:rFonts w:ascii="Georgia" w:hAnsi="Georgia"/>
                <w:sz w:val="19"/>
              </w:rPr>
              <w:t>• NFR-005</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the ten observed sessions from D-002. No extra work.</w:t>
            </w:r>
          </w:p>
        </w:tc>
      </w:tr>
    </w:tbl>
    <w:p>
      <w:pPr>
        <w:spacing w:after="40"/>
      </w:pPr>
    </w:p>
    <w:p>
      <w:pPr>
        <w:keepNext/>
        <w:spacing w:before="220" w:after="60"/>
        <w:ind w:left="115"/>
        <w:pBdr>
          <w:left w:val="single" w:sz="18" w:space="0" w:color="1F4E79"/>
        </w:pBdr>
      </w:pPr>
      <w:r>
        <w:rPr>
          <w:rFonts w:ascii="Calibri" w:hAnsi="Calibri"/>
          <w:b/>
          <w:color w:val="1F4E79"/>
          <w:sz w:val="20"/>
        </w:rPr>
        <w:t>Q-007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Is the working order in the method right - does writing the requirements really send an expert back to the journeys, and does that feel like progress or like failure to them?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and ask the expert how it felt, in the ten observed sessions. No extra work.</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5486399" cy="6599075"/>
            <wp:docPr id="31" name="Picture 31"/>
            <wp:cNvGraphicFramePr>
              <a:graphicFrameLocks noChangeAspect="1"/>
            </wp:cNvGraphicFramePr>
            <a:graphic>
              <a:graphicData uri="http://schemas.openxmlformats.org/drawingml/2006/picture">
                <pic:pic>
                  <pic:nvPicPr>
                    <pic:cNvPr id="0" name="release-line.png"/>
                    <pic:cNvPicPr/>
                  </pic:nvPicPr>
                  <pic:blipFill>
                    <a:blip r:embed="rId30"/>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reviewed PRD.</w:t>
      </w:r>
    </w:p>
    <w:p>
      <w:r>
        <w:rPr>
          <w:rFonts w:ascii="Georgia" w:hAnsi="Georgia"/>
        </w:rPr>
        <w:t>REL-002 is deferred rather than cut because the PRD REL-001 produces already has to carry everything a backlog needs —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 the ten observed experts and the three engineering leads — are also dated 2027-03-31 and are only *requested*. So REL-001 ships at the same moment the assumptions beneath it are first tested, not after. Either REL-001 moves, or it ships knowingly as an experiment. That is a decision for the sponsor at TR-001 and it is not made here.</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domain expert with no product training can take one product idea to an approved PRD without leaving the session they started in.</w:t>
            </w:r>
          </w:p>
          <w:p>
            <w:pPr>
              <w:spacing w:after="40"/>
              <w:ind w:left="173"/>
            </w:pPr>
            <w:r>
              <w:rPr>
                <w:rFonts w:ascii="Georgia" w:hAnsi="Georgia"/>
                <w:sz w:val="19"/>
              </w:rPr>
              <w:t>• The expert can see, before anyone estimates, which parts of their own specification a development team could not build from.</w:t>
            </w:r>
          </w:p>
          <w:p>
            <w:pPr>
              <w:spacing w:after="40"/>
              <w:ind w:left="173"/>
            </w:pPr>
            <w:r>
              <w:rPr>
                <w:rFonts w:ascii="Georgia" w:hAnsi="Georgia"/>
                <w:sz w:val="19"/>
              </w:rPr>
              <w:t>• A sponsor can see what they are approving, what is still open and who owns each open thing, on one page.</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80% of the pilot PRDs pass the buildability review on first submission (O-001).</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Every story names the requirement id it came from, so nobody has to ask why it exists.</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specification without overwriting each other.</w:t>
            </w:r>
          </w:p>
          <w:p>
            <w:pPr>
              <w:spacing w:after="40"/>
              <w:ind w:left="173"/>
            </w:pPr>
            <w:r>
              <w:rPr>
                <w:rFonts w:ascii="Georgia" w:hAnsi="Georgia"/>
                <w:sz w:val="19"/>
              </w:rPr>
              <w:t>• A reviewer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9C2B2B"/>
          <w:sz w:val="15"/>
        </w:rPr>
        <w:t>draft · 55/100 · 2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049"/>
        <w:gridCol w:w="4965"/>
      </w:tblGrid>
      <w:tr>
        <w:tc>
          <w:tcPr>
            <w:tcW w:type="dxa" w:w="4049"/>
            <w:tcBorders>
              <w:bottom w:val="single" w:sz="12" w:space="4" w:color="16181D"/>
            </w:tcBorders>
          </w:tcPr>
          <w:p>
            <w:pPr>
              <w:spacing w:after="60"/>
            </w:pPr>
            <w:r/>
            <w:r>
              <w:rPr>
                <w:rFonts w:ascii="Calibri" w:hAnsi="Calibri"/>
                <w:b/>
                <w:caps/>
                <w:color w:val="5C6370"/>
                <w:sz w:val="15"/>
              </w:rPr>
              <w:t>Term</w:t>
            </w:r>
          </w:p>
        </w:tc>
        <w:tc>
          <w:tcPr>
            <w:tcW w:type="dxa" w:w="4965"/>
            <w:tcBorders>
              <w:bottom w:val="single" w:sz="12" w:space="4" w:color="16181D"/>
            </w:tcBorders>
          </w:tcPr>
          <w:p>
            <w:pPr>
              <w:spacing w:after="60"/>
            </w:pPr>
            <w:r/>
            <w:r>
              <w:rPr>
                <w:rFonts w:ascii="Calibri" w:hAnsi="Calibri"/>
                <w:b/>
                <w:caps/>
                <w:color w:val="5C6370"/>
                <w:sz w:val="15"/>
              </w:rPr>
              <w:t>Most often confused with</w:t>
            </w:r>
          </w:p>
        </w:tc>
      </w:tr>
      <w:tr>
        <w:tc>
          <w:tcPr>
            <w:tcW w:type="dxa" w:w="4049"/>
            <w:tcBorders>
              <w:bottom w:val="single" w:sz="6" w:space="4" w:color="D8DCE3"/>
            </w:tcBorders>
          </w:tcPr>
          <w:p>
            <w:pPr>
              <w:spacing w:after="60"/>
            </w:pPr>
            <w:r/>
            <w:r>
              <w:rPr>
                <w:rFonts w:ascii="Georgia" w:hAnsi="Georgia"/>
                <w:sz w:val="18"/>
              </w:rPr>
              <w:t>PRD</w:t>
            </w:r>
          </w:p>
        </w:tc>
        <w:tc>
          <w:tcPr>
            <w:tcW w:type="dxa" w:w="4965"/>
            <w:tcBorders>
              <w:bottom w:val="single" w:sz="6" w:space="4" w:color="D8DCE3"/>
            </w:tcBorders>
          </w:tcPr>
          <w:p>
            <w:pPr>
              <w:spacing w:after="60"/>
            </w:pPr>
            <w:r/>
            <w:r>
              <w:rPr>
                <w:rFonts w:ascii="Georgia" w:hAnsi="Georgia"/>
                <w:sz w:val="18"/>
              </w:rPr>
              <w:t>A design document</w:t>
            </w:r>
          </w:p>
        </w:tc>
      </w:tr>
      <w:tr>
        <w:tc>
          <w:tcPr>
            <w:tcW w:type="dxa" w:w="4049"/>
            <w:tcBorders>
              <w:bottom w:val="single" w:sz="6" w:space="4" w:color="D8DCE3"/>
            </w:tcBorders>
          </w:tcPr>
          <w:p>
            <w:pPr>
              <w:spacing w:after="60"/>
            </w:pPr>
            <w:r/>
            <w:r>
              <w:rPr>
                <w:rFonts w:ascii="Georgia" w:hAnsi="Georgia"/>
                <w:sz w:val="18"/>
              </w:rPr>
              <w:t>Golden thread</w:t>
            </w:r>
          </w:p>
        </w:tc>
        <w:tc>
          <w:tcPr>
            <w:tcW w:type="dxa" w:w="4965"/>
            <w:tcBorders>
              <w:bottom w:val="single" w:sz="6" w:space="4" w:color="D8DCE3"/>
            </w:tcBorders>
          </w:tcPr>
          <w:p>
            <w:pPr>
              <w:spacing w:after="60"/>
            </w:pPr>
            <w:r/>
            <w:r>
              <w:rPr>
                <w:rFonts w:ascii="Georgia" w:hAnsi="Georgia"/>
                <w:sz w:val="18"/>
              </w:rPr>
              <w:t>The most important journey</w:t>
            </w:r>
          </w:p>
        </w:tc>
      </w:tr>
      <w:tr>
        <w:tc>
          <w:tcPr>
            <w:tcW w:type="dxa" w:w="4049"/>
            <w:tcBorders>
              <w:bottom w:val="single" w:sz="6" w:space="4" w:color="D8DCE3"/>
            </w:tcBorders>
          </w:tcPr>
          <w:p>
            <w:pPr>
              <w:spacing w:after="60"/>
            </w:pPr>
            <w:r/>
            <w:r>
              <w:rPr>
                <w:rFonts w:ascii="Georgia" w:hAnsi="Georgia"/>
                <w:sz w:val="18"/>
              </w:rPr>
              <w:t>Release line</w:t>
            </w:r>
          </w:p>
        </w:tc>
        <w:tc>
          <w:tcPr>
            <w:tcW w:type="dxa" w:w="4965"/>
            <w:tcBorders>
              <w:bottom w:val="single" w:sz="6" w:space="4" w:color="D8DCE3"/>
            </w:tcBorders>
          </w:tcPr>
          <w:p>
            <w:pPr>
              <w:spacing w:after="60"/>
            </w:pPr>
            <w:r/>
            <w:r>
              <w:rPr>
                <w:rFonts w:ascii="Georgia" w:hAnsi="Georgia"/>
                <w:sz w:val="18"/>
              </w:rPr>
              <w:t>A date</w:t>
            </w:r>
          </w:p>
        </w:tc>
      </w:tr>
      <w:tr>
        <w:tc>
          <w:tcPr>
            <w:tcW w:type="dxa" w:w="4049"/>
            <w:tcBorders>
              <w:bottom w:val="single" w:sz="6" w:space="4" w:color="D8DCE3"/>
            </w:tcBorders>
          </w:tcPr>
          <w:p>
            <w:pPr>
              <w:spacing w:after="60"/>
            </w:pPr>
            <w:r/>
            <w:r>
              <w:rPr>
                <w:rFonts w:ascii="Georgia" w:hAnsi="Georgia"/>
                <w:sz w:val="18"/>
              </w:rPr>
              <w:t>Stage</w:t>
            </w:r>
          </w:p>
        </w:tc>
        <w:tc>
          <w:tcPr>
            <w:tcW w:type="dxa" w:w="4965"/>
            <w:tcBorders>
              <w:bottom w:val="single" w:sz="6" w:space="4" w:color="D8DCE3"/>
            </w:tcBorders>
          </w:tcPr>
          <w:p>
            <w:pPr>
              <w:spacing w:after="60"/>
            </w:pPr>
            <w:r/>
            <w:r>
              <w:rPr>
                <w:rFonts w:ascii="Georgia" w:hAnsi="Georgia"/>
                <w:sz w:val="18"/>
              </w:rPr>
              <w:t>A screen</w:t>
            </w:r>
          </w:p>
        </w:tc>
      </w:tr>
      <w:tr>
        <w:tc>
          <w:tcPr>
            <w:tcW w:type="dxa" w:w="4049"/>
            <w:tcBorders>
              <w:bottom w:val="single" w:sz="6" w:space="4" w:color="D8DCE3"/>
            </w:tcBorders>
          </w:tcPr>
          <w:p>
            <w:pPr>
              <w:spacing w:after="60"/>
            </w:pPr>
            <w:r/>
            <w:r>
              <w:rPr>
                <w:rFonts w:ascii="Georgia" w:hAnsi="Georgia"/>
                <w:sz w:val="18"/>
              </w:rPr>
              <w:t>Rubric</w:t>
            </w:r>
          </w:p>
        </w:tc>
        <w:tc>
          <w:tcPr>
            <w:tcW w:type="dxa" w:w="4965"/>
            <w:tcBorders>
              <w:bottom w:val="single" w:sz="6" w:space="4" w:color="D8DCE3"/>
            </w:tcBorders>
          </w:tcPr>
          <w:p>
            <w:pPr>
              <w:spacing w:after="60"/>
            </w:pPr>
            <w:r/>
            <w:r>
              <w:rPr>
                <w:rFonts w:ascii="Georgia" w:hAnsi="Georgia"/>
                <w:sz w:val="18"/>
              </w:rPr>
              <w:t>A checklist</w:t>
            </w:r>
          </w:p>
        </w:tc>
      </w:tr>
      <w:tr>
        <w:tc>
          <w:tcPr>
            <w:tcW w:type="dxa" w:w="4049"/>
            <w:tcBorders>
              <w:bottom w:val="single" w:sz="6" w:space="4" w:color="D8DCE3"/>
            </w:tcBorders>
          </w:tcPr>
          <w:p>
            <w:pPr>
              <w:spacing w:after="60"/>
            </w:pPr>
            <w:r/>
            <w:r>
              <w:rPr>
                <w:rFonts w:ascii="Georgia" w:hAnsi="Georgia"/>
                <w:sz w:val="18"/>
              </w:rPr>
              <w:t>Blocking defect</w:t>
            </w:r>
          </w:p>
        </w:tc>
        <w:tc>
          <w:tcPr>
            <w:tcW w:type="dxa" w:w="4965"/>
            <w:tcBorders>
              <w:bottom w:val="single" w:sz="6" w:space="4" w:color="D8DCE3"/>
            </w:tcBorders>
          </w:tcPr>
          <w:p>
            <w:pPr>
              <w:spacing w:after="60"/>
            </w:pPr>
            <w:r/>
            <w:r>
              <w:rPr>
                <w:rFonts w:ascii="Georgia" w:hAnsi="Georgia"/>
                <w:sz w:val="18"/>
              </w:rPr>
              <w:t>A low score</w:t>
            </w:r>
          </w:p>
        </w:tc>
      </w:tr>
      <w:tr>
        <w:tc>
          <w:tcPr>
            <w:tcW w:type="dxa" w:w="4049"/>
            <w:tcBorders>
              <w:bottom w:val="single" w:sz="6" w:space="4" w:color="D8DCE3"/>
            </w:tcBorders>
          </w:tcPr>
          <w:p>
            <w:pPr>
              <w:spacing w:after="60"/>
            </w:pPr>
            <w:r/>
            <w:r>
              <w:rPr>
                <w:rFonts w:ascii="Georgia" w:hAnsi="Georgia"/>
                <w:sz w:val="18"/>
              </w:rPr>
              <w:t>Score</w:t>
            </w:r>
          </w:p>
        </w:tc>
        <w:tc>
          <w:tcPr>
            <w:tcW w:type="dxa" w:w="4965"/>
            <w:tcBorders>
              <w:bottom w:val="single" w:sz="6" w:space="4" w:color="D8DCE3"/>
            </w:tcBorders>
          </w:tcPr>
          <w:p>
            <w:pPr>
              <w:spacing w:after="60"/>
            </w:pPr>
            <w:r/>
            <w:r>
              <w:rPr>
                <w:rFonts w:ascii="Georgia" w:hAnsi="Georgia"/>
                <w:sz w:val="18"/>
              </w:rPr>
              <w:t>A judgement on the product idea</w:t>
            </w:r>
          </w:p>
        </w:tc>
      </w:tr>
      <w:tr>
        <w:tc>
          <w:tcPr>
            <w:tcW w:type="dxa" w:w="4049"/>
            <w:tcBorders>
              <w:bottom w:val="single" w:sz="6" w:space="4" w:color="D8DCE3"/>
            </w:tcBorders>
          </w:tcPr>
          <w:p>
            <w:pPr>
              <w:spacing w:after="60"/>
            </w:pPr>
            <w:r/>
            <w:r>
              <w:rPr>
                <w:rFonts w:ascii="Georgia" w:hAnsi="Georgia"/>
                <w:sz w:val="18"/>
              </w:rPr>
              <w:t>Spike</w:t>
            </w:r>
          </w:p>
        </w:tc>
        <w:tc>
          <w:tcPr>
            <w:tcW w:type="dxa" w:w="4965"/>
            <w:tcBorders>
              <w:bottom w:val="single" w:sz="6" w:space="4" w:color="D8DCE3"/>
            </w:tcBorders>
          </w:tcPr>
          <w:p>
            <w:pPr>
              <w:spacing w:after="60"/>
            </w:pPr>
            <w:r/>
            <w:r>
              <w:rPr>
                <w:rFonts w:ascii="Georgia" w:hAnsi="Georgia"/>
                <w:sz w:val="18"/>
              </w:rPr>
              <w:t>A piece of the product</w:t>
            </w:r>
          </w:p>
        </w:tc>
      </w:tr>
      <w:tr>
        <w:tc>
          <w:tcPr>
            <w:tcW w:type="dxa" w:w="4049"/>
            <w:tcBorders>
              <w:bottom w:val="single" w:sz="6" w:space="4" w:color="D8DCE3"/>
            </w:tcBorders>
          </w:tcPr>
          <w:p>
            <w:pPr>
              <w:spacing w:after="60"/>
            </w:pPr>
            <w:r/>
            <w:r>
              <w:rPr>
                <w:rFonts w:ascii="Georgia" w:hAnsi="Georgia"/>
                <w:sz w:val="18"/>
              </w:rPr>
              <w:t>Open question</w:t>
            </w:r>
          </w:p>
        </w:tc>
        <w:tc>
          <w:tcPr>
            <w:tcW w:type="dxa" w:w="4965"/>
            <w:tcBorders>
              <w:bottom w:val="single" w:sz="6" w:space="4" w:color="D8DCE3"/>
            </w:tcBorders>
          </w:tcPr>
          <w:p>
            <w:pPr>
              <w:spacing w:after="60"/>
            </w:pPr>
            <w:r/>
            <w:r>
              <w:rPr>
                <w:rFonts w:ascii="Georgia" w:hAnsi="Georgia"/>
                <w:sz w:val="18"/>
              </w:rPr>
              <w:t>A risk</w:t>
            </w:r>
          </w:p>
        </w:tc>
      </w:tr>
      <w:tr>
        <w:tc>
          <w:tcPr>
            <w:tcW w:type="dxa" w:w="4049"/>
            <w:tcBorders>
              <w:bottom w:val="single" w:sz="6" w:space="4" w:color="D8DCE3"/>
            </w:tcBorders>
          </w:tcPr>
          <w:p>
            <w:pPr>
              <w:spacing w:after="60"/>
            </w:pPr>
            <w:r/>
            <w:r>
              <w:rPr>
                <w:rFonts w:ascii="Georgia" w:hAnsi="Georgia"/>
                <w:sz w:val="18"/>
              </w:rPr>
              <w:t>Non-goal</w:t>
            </w:r>
          </w:p>
        </w:tc>
        <w:tc>
          <w:tcPr>
            <w:tcW w:type="dxa" w:w="4965"/>
            <w:tcBorders>
              <w:bottom w:val="single" w:sz="6" w:space="4" w:color="D8DCE3"/>
            </w:tcBorders>
          </w:tcPr>
          <w:p>
            <w:pPr>
              <w:spacing w:after="60"/>
            </w:pPr>
            <w:r/>
            <w:r>
              <w:rPr>
                <w:rFonts w:ascii="Georgia" w:hAnsi="Georgia"/>
                <w:sz w:val="18"/>
              </w:rPr>
              <w:t>Out of scope</w:t>
            </w:r>
          </w:p>
        </w:tc>
      </w:tr>
      <w:tr>
        <w:tc>
          <w:tcPr>
            <w:tcW w:type="dxa" w:w="4049"/>
            <w:tcBorders>
              <w:bottom w:val="single" w:sz="6" w:space="4" w:color="D8DCE3"/>
            </w:tcBorders>
          </w:tcPr>
          <w:p>
            <w:pPr>
              <w:spacing w:after="60"/>
            </w:pPr>
            <w:r/>
            <w:r>
              <w:rPr>
                <w:rFonts w:ascii="Georgia" w:hAnsi="Georgia"/>
                <w:sz w:val="18"/>
              </w:rPr>
              <w:t>Grade</w:t>
            </w:r>
          </w:p>
        </w:tc>
        <w:tc>
          <w:tcPr>
            <w:tcW w:type="dxa" w:w="4965"/>
            <w:tcBorders>
              <w:bottom w:val="single" w:sz="6" w:space="4" w:color="D8DCE3"/>
            </w:tcBorders>
          </w:tcPr>
          <w:p>
            <w:pPr>
              <w:spacing w:after="60"/>
            </w:pPr>
            <w:r/>
            <w:r>
              <w:rPr>
                <w:rFonts w:ascii="Georgia" w:hAnsi="Georgia"/>
                <w:sz w:val="18"/>
              </w:rPr>
              <w:t>Score</w:t>
            </w:r>
          </w:p>
        </w:tc>
      </w:tr>
      <w:tr>
        <w:tc>
          <w:tcPr>
            <w:tcW w:type="dxa" w:w="4049"/>
            <w:tcBorders>
              <w:bottom w:val="single" w:sz="6" w:space="4" w:color="D8DCE3"/>
            </w:tcBorders>
          </w:tcPr>
          <w:p>
            <w:pPr>
              <w:spacing w:after="60"/>
            </w:pPr>
            <w:r/>
            <w:r>
              <w:rPr>
                <w:rFonts w:ascii="Georgia" w:hAnsi="Georgia"/>
                <w:sz w:val="18"/>
              </w:rPr>
              <w:t>State</w:t>
            </w:r>
          </w:p>
        </w:tc>
        <w:tc>
          <w:tcPr>
            <w:tcW w:type="dxa" w:w="4965"/>
            <w:tcBorders>
              <w:bottom w:val="single" w:sz="6" w:space="4" w:color="D8DCE3"/>
            </w:tcBorders>
          </w:tcPr>
          <w:p>
            <w:pPr>
              <w:spacing w:after="60"/>
            </w:pPr>
            <w:r/>
            <w:r>
              <w:rPr>
                <w:rFonts w:ascii="Georgia" w:hAnsi="Georgia"/>
                <w:sz w:val="18"/>
              </w:rPr>
              <w:t>Threshold</w:t>
            </w:r>
          </w:p>
        </w:tc>
      </w:tr>
      <w:tr>
        <w:tc>
          <w:tcPr>
            <w:tcW w:type="dxa" w:w="4049"/>
            <w:tcBorders>
              <w:bottom w:val="single" w:sz="6" w:space="4" w:color="D8DCE3"/>
            </w:tcBorders>
          </w:tcPr>
          <w:p>
            <w:pPr>
              <w:spacing w:after="60"/>
            </w:pPr>
            <w:r/>
            <w:r>
              <w:rPr>
                <w:rFonts w:ascii="Georgia" w:hAnsi="Georgia"/>
                <w:sz w:val="18"/>
              </w:rPr>
              <w:t>Assumption</w:t>
            </w:r>
          </w:p>
        </w:tc>
        <w:tc>
          <w:tcPr>
            <w:tcW w:type="dxa" w:w="4965"/>
            <w:tcBorders>
              <w:bottom w:val="single" w:sz="6" w:space="4" w:color="D8DCE3"/>
            </w:tcBorders>
          </w:tcPr>
          <w:p>
            <w:pPr>
              <w:spacing w:after="60"/>
            </w:pPr>
            <w:r/>
            <w:r>
              <w:rPr>
                <w:rFonts w:ascii="Georgia" w:hAnsi="Georgia"/>
                <w:sz w:val="18"/>
              </w:rPr>
              <w:t>Open question, risk</w:t>
            </w:r>
          </w:p>
        </w:tc>
      </w:tr>
      <w:tr>
        <w:tc>
          <w:tcPr>
            <w:tcW w:type="dxa" w:w="4049"/>
            <w:tcBorders>
              <w:bottom w:val="single" w:sz="6" w:space="4" w:color="D8DCE3"/>
            </w:tcBorders>
          </w:tcPr>
          <w:p>
            <w:pPr>
              <w:spacing w:after="60"/>
            </w:pPr>
            <w:r/>
            <w:r>
              <w:rPr>
                <w:rFonts w:ascii="Georgia" w:hAnsi="Georgia"/>
                <w:sz w:val="18"/>
              </w:rPr>
              <w:t>Candidate architecture decision</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Buildability review</w:t>
            </w:r>
          </w:p>
        </w:tc>
        <w:tc>
          <w:tcPr>
            <w:tcW w:type="dxa" w:w="4965"/>
            <w:tcBorders>
              <w:bottom w:val="single" w:sz="6" w:space="4" w:color="D8DCE3"/>
            </w:tcBorders>
          </w:tcPr>
          <w:p>
            <w:pPr>
              <w:spacing w:after="60"/>
            </w:pPr>
            <w:r/>
            <w:r>
              <w:rPr>
                <w:rFonts w:ascii="Georgia" w:hAnsi="Georgia"/>
                <w:sz w:val="18"/>
              </w:rPr>
              <w:t>A grading pass</w:t>
            </w:r>
          </w:p>
        </w:tc>
      </w:tr>
      <w:tr>
        <w:tc>
          <w:tcPr>
            <w:tcW w:type="dxa" w:w="4049"/>
            <w:tcBorders>
              <w:bottom w:val="single" w:sz="6" w:space="4" w:color="D8DCE3"/>
            </w:tcBorders>
          </w:tcPr>
          <w:p>
            <w:pPr>
              <w:spacing w:after="60"/>
            </w:pPr>
            <w:r/>
            <w:r>
              <w:rPr>
                <w:rFonts w:ascii="Georgia" w:hAnsi="Georgia"/>
                <w:sz w:val="18"/>
              </w:rPr>
              <w:t>Finding</w:t>
            </w:r>
          </w:p>
        </w:tc>
        <w:tc>
          <w:tcPr>
            <w:tcW w:type="dxa" w:w="4965"/>
            <w:tcBorders>
              <w:bottom w:val="single" w:sz="6" w:space="4" w:color="D8DCE3"/>
            </w:tcBorders>
          </w:tcPr>
          <w:p>
            <w:pPr>
              <w:spacing w:after="60"/>
            </w:pPr>
            <w:r/>
            <w:r>
              <w:rPr>
                <w:rFonts w:ascii="Georgia" w:hAnsi="Georgia"/>
                <w:sz w:val="18"/>
              </w:rPr>
              <w:t>A blocking defect</w:t>
            </w:r>
          </w:p>
        </w:tc>
      </w:tr>
      <w:tr>
        <w:tc>
          <w:tcPr>
            <w:tcW w:type="dxa" w:w="4049"/>
            <w:tcBorders>
              <w:bottom w:val="single" w:sz="6" w:space="4" w:color="D8DCE3"/>
            </w:tcBorders>
          </w:tcPr>
          <w:p>
            <w:pPr>
              <w:spacing w:after="60"/>
            </w:pPr>
            <w:r/>
            <w:r>
              <w:rPr>
                <w:rFonts w:ascii="Georgia" w:hAnsi="Georgia"/>
                <w:sz w:val="18"/>
              </w:rPr>
              <w:t>Root document</w:t>
            </w:r>
          </w:p>
        </w:tc>
        <w:tc>
          <w:tcPr>
            <w:tcW w:type="dxa" w:w="4965"/>
            <w:tcBorders>
              <w:bottom w:val="single" w:sz="6" w:space="4" w:color="D8DCE3"/>
            </w:tcBorders>
          </w:tcPr>
          <w:p>
            <w:pPr>
              <w:spacing w:after="60"/>
            </w:pPr>
            <w:r/>
            <w:r>
              <w:rPr>
                <w:rFonts w:ascii="Georgia" w:hAnsi="Georgia"/>
                <w:sz w:val="18"/>
              </w:rPr>
              <w:t>Section 1</w:t>
            </w:r>
          </w:p>
        </w:tc>
      </w:tr>
      <w:tr>
        <w:tc>
          <w:tcPr>
            <w:tcW w:type="dxa" w:w="4049"/>
            <w:tcBorders>
              <w:bottom w:val="single" w:sz="6" w:space="4" w:color="D8DCE3"/>
            </w:tcBorders>
          </w:tcPr>
          <w:p>
            <w:pPr>
              <w:spacing w:after="60"/>
            </w:pPr>
            <w:r/>
            <w:r>
              <w:rPr>
                <w:rFonts w:ascii="Georgia" w:hAnsi="Georgia"/>
                <w:sz w:val="18"/>
              </w:rPr>
              <w:t>Approver</w:t>
            </w:r>
          </w:p>
        </w:tc>
        <w:tc>
          <w:tcPr>
            <w:tcW w:type="dxa" w:w="4965"/>
            <w:tcBorders>
              <w:bottom w:val="single" w:sz="6" w:space="4" w:color="D8DCE3"/>
            </w:tcBorders>
          </w:tcPr>
          <w:p>
            <w:pPr>
              <w:spacing w:after="60"/>
            </w:pPr>
            <w:r/>
            <w:r>
              <w:rPr>
                <w:rFonts w:ascii="Georgia" w:hAnsi="Georgia"/>
                <w:sz w:val="18"/>
              </w:rPr>
              <w:t>The expert</w:t>
            </w:r>
          </w:p>
        </w:tc>
      </w:tr>
      <w:tr>
        <w:tc>
          <w:tcPr>
            <w:tcW w:type="dxa" w:w="4049"/>
            <w:tcBorders>
              <w:bottom w:val="single" w:sz="6" w:space="4" w:color="D8DCE3"/>
            </w:tcBorders>
          </w:tcPr>
          <w:p>
            <w:pPr>
              <w:spacing w:after="60"/>
            </w:pPr>
            <w:r/>
            <w:r>
              <w:rPr>
                <w:rFonts w:ascii="Georgia" w:hAnsi="Georgia"/>
                <w:sz w:val="18"/>
              </w:rPr>
              <w:t>Condition</w:t>
            </w:r>
          </w:p>
        </w:tc>
        <w:tc>
          <w:tcPr>
            <w:tcW w:type="dxa" w:w="4965"/>
            <w:tcBorders>
              <w:bottom w:val="single" w:sz="6" w:space="4" w:color="D8DCE3"/>
            </w:tcBorders>
          </w:tcPr>
          <w:p>
            <w:pPr>
              <w:spacing w:after="60"/>
            </w:pPr>
            <w:r/>
            <w:r>
              <w:rPr>
                <w:rFonts w:ascii="Georgia" w:hAnsi="Georgia"/>
                <w:sz w:val="18"/>
              </w:rPr>
              <w:t>A constraint</w:t>
            </w:r>
          </w:p>
        </w:tc>
      </w:tr>
      <w:tr>
        <w:tc>
          <w:tcPr>
            <w:tcW w:type="dxa" w:w="4049"/>
            <w:tcBorders>
              <w:bottom w:val="single" w:sz="6" w:space="4" w:color="D8DCE3"/>
            </w:tcBorders>
          </w:tcPr>
          <w:p>
            <w:pPr>
              <w:spacing w:after="60"/>
            </w:pPr>
            <w:r/>
            <w:r>
              <w:rPr>
                <w:rFonts w:ascii="Georgia" w:hAnsi="Georgia"/>
                <w:sz w:val="18"/>
              </w:rPr>
              <w:t>Constraint</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Objective</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Baseline</w:t>
            </w:r>
          </w:p>
        </w:tc>
        <w:tc>
          <w:tcPr>
            <w:tcW w:type="dxa" w:w="4965"/>
            <w:tcBorders>
              <w:bottom w:val="single" w:sz="6" w:space="4" w:color="D8DCE3"/>
            </w:tcBorders>
          </w:tcPr>
          <w:p>
            <w:pPr>
              <w:spacing w:after="60"/>
            </w:pPr>
            <w:r/>
            <w:r>
              <w:rPr>
                <w:rFonts w:ascii="Georgia" w:hAnsi="Georgia"/>
                <w:sz w:val="18"/>
              </w:rPr>
              <w:t>A target</w:t>
            </w:r>
          </w:p>
        </w:tc>
      </w:tr>
      <w:tr>
        <w:tc>
          <w:tcPr>
            <w:tcW w:type="dxa" w:w="4049"/>
            <w:tcBorders>
              <w:bottom w:val="single" w:sz="6" w:space="4" w:color="D8DCE3"/>
            </w:tcBorders>
          </w:tcPr>
          <w:p>
            <w:pPr>
              <w:spacing w:after="60"/>
            </w:pPr>
            <w:r/>
            <w:r>
              <w:rPr>
                <w:rFonts w:ascii="Georgia" w:hAnsi="Georgia"/>
                <w:sz w:val="18"/>
              </w:rPr>
              <w:t>Version</w:t>
            </w:r>
          </w:p>
        </w:tc>
        <w:tc>
          <w:tcPr>
            <w:tcW w:type="dxa" w:w="4965"/>
            <w:tcBorders>
              <w:bottom w:val="single" w:sz="6" w:space="4" w:color="D8DCE3"/>
            </w:tcBorders>
          </w:tcPr>
          <w:p>
            <w:pPr>
              <w:spacing w:after="60"/>
            </w:pPr>
            <w:r/>
            <w:r>
              <w:rPr>
                <w:rFonts w:ascii="Georgia" w:hAnsi="Georgia"/>
                <w:sz w:val="18"/>
              </w:rPr>
              <w:t>A release of the product</w:t>
            </w:r>
          </w:p>
        </w:tc>
      </w:tr>
      <w:tr>
        <w:tc>
          <w:tcPr>
            <w:tcW w:type="dxa" w:w="4049"/>
            <w:tcBorders>
              <w:bottom w:val="single" w:sz="6" w:space="4" w:color="D8DCE3"/>
            </w:tcBorders>
          </w:tcPr>
          <w:p>
            <w:pPr>
              <w:spacing w:after="60"/>
            </w:pPr>
            <w:r/>
            <w:r>
              <w:rPr>
                <w:rFonts w:ascii="Georgia" w:hAnsi="Georgia"/>
                <w:sz w:val="18"/>
              </w:rPr>
              <w:t>Dependency</w:t>
            </w:r>
          </w:p>
        </w:tc>
        <w:tc>
          <w:tcPr>
            <w:tcW w:type="dxa" w:w="4965"/>
            <w:tcBorders>
              <w:bottom w:val="single" w:sz="6" w:space="4" w:color="D8DCE3"/>
            </w:tcBorders>
          </w:tcPr>
          <w:p>
            <w:pPr>
              <w:spacing w:after="60"/>
            </w:pPr>
            <w:r/>
            <w:r>
              <w:rPr>
                <w:rFonts w:ascii="Georgia" w:hAnsi="Georgia"/>
                <w:sz w:val="18"/>
              </w:rPr>
              <w:t>A requirement's wait on an open question</w:t>
            </w:r>
          </w:p>
        </w:tc>
      </w:tr>
      <w:tr>
        <w:tc>
          <w:tcPr>
            <w:tcW w:type="dxa" w:w="4049"/>
            <w:tcBorders>
              <w:bottom w:val="single" w:sz="6" w:space="4" w:color="D8DCE3"/>
            </w:tcBorders>
          </w:tcPr>
          <w:p>
            <w:pPr>
              <w:spacing w:after="60"/>
            </w:pPr>
            <w:r/>
            <w:r>
              <w:rPr>
                <w:rFonts w:ascii="Georgia" w:hAnsi="Georgia"/>
                <w:sz w:val="18"/>
              </w:rPr>
              <w:t>Backlog</w:t>
            </w:r>
          </w:p>
        </w:tc>
        <w:tc>
          <w:tcPr>
            <w:tcW w:type="dxa" w:w="4965"/>
            <w:tcBorders>
              <w:bottom w:val="single" w:sz="6" w:space="4" w:color="D8DCE3"/>
            </w:tcBorders>
          </w:tcPr>
          <w:p>
            <w:pPr>
              <w:spacing w:after="60"/>
            </w:pPr>
            <w:r/>
            <w:r>
              <w:rPr>
                <w:rFonts w:ascii="Georgia" w:hAnsi="Georgia"/>
                <w:sz w:val="18"/>
              </w:rPr>
              <w:t>The set</w:t>
            </w:r>
          </w:p>
        </w:tc>
      </w:tr>
      <w:tr>
        <w:tc>
          <w:tcPr>
            <w:tcW w:type="dxa" w:w="4049"/>
            <w:tcBorders>
              <w:bottom w:val="single" w:sz="6" w:space="4" w:color="D8DCE3"/>
            </w:tcBorders>
          </w:tcPr>
          <w:p>
            <w:pPr>
              <w:spacing w:after="60"/>
            </w:pPr>
            <w:r/>
            <w:r>
              <w:rPr>
                <w:rFonts w:ascii="Georgia" w:hAnsi="Georgia"/>
                <w:sz w:val="18"/>
              </w:rPr>
              <w:t>Feature</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Story</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Expert</w:t>
            </w:r>
          </w:p>
        </w:tc>
        <w:tc>
          <w:tcPr>
            <w:tcW w:type="dxa" w:w="4965"/>
            <w:tcBorders>
              <w:bottom w:val="single" w:sz="6" w:space="4" w:color="D8DCE3"/>
            </w:tcBorders>
          </w:tcPr>
          <w:p>
            <w:pPr>
              <w:spacing w:after="60"/>
            </w:pPr>
            <w:r/>
            <w:r>
              <w:rPr>
                <w:rFonts w:ascii="Georgia" w:hAnsi="Georgia"/>
                <w:sz w:val="18"/>
              </w:rPr>
              <w:t>The approver</w:t>
            </w:r>
          </w:p>
        </w:tc>
      </w:tr>
      <w:tr>
        <w:tc>
          <w:tcPr>
            <w:tcW w:type="dxa" w:w="4049"/>
            <w:tcBorders>
              <w:bottom w:val="single" w:sz="6" w:space="4" w:color="D8DCE3"/>
            </w:tcBorders>
          </w:tcPr>
          <w:p>
            <w:pPr>
              <w:spacing w:after="60"/>
            </w:pPr>
            <w:r/>
            <w:r>
              <w:rPr>
                <w:rFonts w:ascii="Georgia" w:hAnsi="Georgia"/>
                <w:sz w:val="18"/>
              </w:rPr>
              <w:t>Sponsor</w:t>
            </w:r>
          </w:p>
        </w:tc>
        <w:tc>
          <w:tcPr>
            <w:tcW w:type="dxa" w:w="4965"/>
            <w:tcBorders>
              <w:bottom w:val="single" w:sz="6" w:space="4" w:color="D8DCE3"/>
            </w:tcBorders>
          </w:tcPr>
          <w:p>
            <w:pPr>
              <w:spacing w:after="60"/>
            </w:pPr>
            <w:r/>
            <w:r>
              <w:rPr>
                <w:rFonts w:ascii="Georgia" w:hAnsi="Georgia"/>
                <w:sz w:val="18"/>
              </w:rPr>
              <w:t>The expert</w:t>
            </w:r>
          </w:p>
        </w:tc>
      </w:tr>
      <w:tr>
        <w:tc>
          <w:tcPr>
            <w:tcW w:type="dxa" w:w="4049"/>
            <w:tcBorders>
              <w:bottom w:val="single" w:sz="6" w:space="4" w:color="D8DCE3"/>
            </w:tcBorders>
          </w:tcPr>
          <w:p>
            <w:pPr>
              <w:spacing w:after="60"/>
            </w:pPr>
            <w:r/>
            <w:r>
              <w:rPr>
                <w:rFonts w:ascii="Georgia" w:hAnsi="Georgia"/>
                <w:sz w:val="18"/>
              </w:rPr>
              <w:t>Engineering lead</w:t>
            </w:r>
          </w:p>
        </w:tc>
        <w:tc>
          <w:tcPr>
            <w:tcW w:type="dxa" w:w="4965"/>
            <w:tcBorders>
              <w:bottom w:val="single" w:sz="6" w:space="4" w:color="D8DCE3"/>
            </w:tcBorders>
          </w:tcPr>
          <w:p>
            <w:pPr>
              <w:spacing w:after="60"/>
            </w:pPr>
            <w:r/>
            <w:r>
              <w:rPr>
                <w:rFonts w:ascii="Georgia" w:hAnsi="Georgia"/>
                <w:sz w:val="18"/>
              </w:rPr>
              <w:t>The expert</w:t>
            </w:r>
          </w:p>
        </w:tc>
      </w:tr>
      <w:tr>
        <w:tc>
          <w:tcPr>
            <w:tcW w:type="dxa" w:w="4049"/>
            <w:tcBorders>
              <w:bottom w:val="single" w:sz="6" w:space="4" w:color="D8DCE3"/>
            </w:tcBorders>
          </w:tcPr>
          <w:p>
            <w:pPr>
              <w:spacing w:after="60"/>
            </w:pPr>
            <w:r/>
            <w:r>
              <w:rPr>
                <w:rFonts w:ascii="Georgia" w:hAnsi="Georgia"/>
                <w:sz w:val="18"/>
              </w:rPr>
              <w:t>Delivery lead</w:t>
            </w:r>
          </w:p>
        </w:tc>
        <w:tc>
          <w:tcPr>
            <w:tcW w:type="dxa" w:w="4965"/>
            <w:tcBorders>
              <w:bottom w:val="single" w:sz="6" w:space="4" w:color="D8DCE3"/>
            </w:tcBorders>
          </w:tcPr>
          <w:p>
            <w:pPr>
              <w:spacing w:after="60"/>
            </w:pPr>
            <w:r/>
            <w:r>
              <w:rPr>
                <w:rFonts w:ascii="Georgia" w:hAnsi="Georgia"/>
                <w:sz w:val="18"/>
              </w:rPr>
              <w:t>The engineering lead</w:t>
            </w:r>
          </w:p>
        </w:tc>
      </w:tr>
      <w:tr>
        <w:tc>
          <w:tcPr>
            <w:tcW w:type="dxa" w:w="4049"/>
            <w:tcBorders>
              <w:bottom w:val="single" w:sz="6" w:space="4" w:color="D8DCE3"/>
            </w:tcBorders>
          </w:tcPr>
          <w:p>
            <w:pPr>
              <w:spacing w:after="60"/>
            </w:pPr>
            <w:r/>
            <w:r>
              <w:rPr>
                <w:rFonts w:ascii="Georgia" w:hAnsi="Georgia"/>
                <w:sz w:val="18"/>
              </w:rPr>
              <w:t>Item</w:t>
            </w:r>
          </w:p>
        </w:tc>
        <w:tc>
          <w:tcPr>
            <w:tcW w:type="dxa" w:w="4965"/>
            <w:tcBorders>
              <w:bottom w:val="single" w:sz="6" w:space="4" w:color="D8DCE3"/>
            </w:tcBorders>
          </w:tcPr>
          <w:p>
            <w:pPr>
              <w:spacing w:after="60"/>
            </w:pPr>
            <w:r/>
            <w:r>
              <w:rPr>
                <w:rFonts w:ascii="Georgia" w:hAnsi="Georgia"/>
                <w:sz w:val="18"/>
              </w:rPr>
              <w:t>A line or a field of an entry</w:t>
            </w:r>
          </w:p>
        </w:tc>
      </w:tr>
      <w:tr>
        <w:tc>
          <w:tcPr>
            <w:tcW w:type="dxa" w:w="4049"/>
            <w:tcBorders>
              <w:bottom w:val="single" w:sz="6" w:space="4" w:color="D8DCE3"/>
            </w:tcBorders>
          </w:tcPr>
          <w:p>
            <w:pPr>
              <w:spacing w:after="60"/>
            </w:pPr>
            <w:r/>
            <w:r>
              <w:rPr>
                <w:rFonts w:ascii="Georgia" w:hAnsi="Georgia"/>
                <w:sz w:val="18"/>
              </w:rPr>
              <w:t>Scenario</w:t>
            </w:r>
          </w:p>
        </w:tc>
        <w:tc>
          <w:tcPr>
            <w:tcW w:type="dxa" w:w="4965"/>
            <w:tcBorders>
              <w:bottom w:val="single" w:sz="6" w:space="4" w:color="D8DCE3"/>
            </w:tcBorders>
          </w:tcPr>
          <w:p>
            <w:pPr>
              <w:spacing w:after="60"/>
            </w:pPr>
            <w:r/>
            <w:r>
              <w:rPr>
                <w:rFonts w:ascii="Georgia" w:hAnsi="Georgia"/>
                <w:sz w:val="18"/>
              </w:rPr>
              <w:t>A journey</w:t>
            </w:r>
          </w:p>
        </w:tc>
      </w:tr>
      <w:tr>
        <w:tc>
          <w:tcPr>
            <w:tcW w:type="dxa" w:w="4049"/>
            <w:tcBorders>
              <w:bottom w:val="single" w:sz="6" w:space="4" w:color="D8DCE3"/>
            </w:tcBorders>
          </w:tcPr>
          <w:p>
            <w:pPr>
              <w:spacing w:after="60"/>
            </w:pPr>
            <w:r/>
            <w:r>
              <w:rPr>
                <w:rFonts w:ascii="Georgia" w:hAnsi="Georgia"/>
                <w:sz w:val="18"/>
              </w:rPr>
              <w:t>Objection</w:t>
            </w:r>
          </w:p>
        </w:tc>
        <w:tc>
          <w:tcPr>
            <w:tcW w:type="dxa" w:w="4965"/>
            <w:tcBorders>
              <w:bottom w:val="single" w:sz="6" w:space="4" w:color="D8DCE3"/>
            </w:tcBorders>
          </w:tcPr>
          <w:p>
            <w:pPr>
              <w:spacing w:after="60"/>
            </w:pPr>
            <w:r/>
            <w:r>
              <w:rPr>
                <w:rFonts w:ascii="Georgia" w:hAnsi="Georgia"/>
                <w:sz w:val="18"/>
              </w:rPr>
              <w:t>A refuted finding</w:t>
            </w:r>
          </w:p>
        </w:tc>
      </w:tr>
      <w:tr>
        <w:tc>
          <w:tcPr>
            <w:tcW w:type="dxa" w:w="4049"/>
            <w:tcBorders>
              <w:bottom w:val="single" w:sz="6" w:space="4" w:color="D8DCE3"/>
            </w:tcBorders>
          </w:tcPr>
          <w:p>
            <w:pPr>
              <w:spacing w:after="60"/>
            </w:pPr>
            <w:r/>
            <w:r>
              <w:rPr>
                <w:rFonts w:ascii="Georgia" w:hAnsi="Georgia"/>
                <w:sz w:val="18"/>
              </w:rPr>
              <w:t>Gate</w:t>
            </w:r>
          </w:p>
        </w:tc>
        <w:tc>
          <w:tcPr>
            <w:tcW w:type="dxa" w:w="4965"/>
            <w:tcBorders>
              <w:bottom w:val="single" w:sz="6" w:space="4" w:color="D8DCE3"/>
            </w:tcBorders>
          </w:tcPr>
          <w:p>
            <w:pPr>
              <w:spacing w:after="60"/>
            </w:pPr>
            <w:r/>
            <w:r>
              <w:rPr>
                <w:rFonts w:ascii="Georgia" w:hAnsi="Georgia"/>
                <w:sz w:val="18"/>
              </w:rPr>
              <w:t>The threshold</w:t>
            </w:r>
          </w:p>
        </w:tc>
      </w:tr>
      <w:tr>
        <w:tc>
          <w:tcPr>
            <w:tcW w:type="dxa" w:w="4049"/>
            <w:tcBorders>
              <w:bottom w:val="single" w:sz="6" w:space="4" w:color="D8DCE3"/>
            </w:tcBorders>
          </w:tcPr>
          <w:p>
            <w:pPr>
              <w:spacing w:after="60"/>
            </w:pPr>
            <w:r/>
            <w:r>
              <w:rPr>
                <w:rFonts w:ascii="Georgia" w:hAnsi="Georgia"/>
                <w:sz w:val="18"/>
              </w:rPr>
              <w:t>Out of scope</w:t>
            </w:r>
          </w:p>
        </w:tc>
        <w:tc>
          <w:tcPr>
            <w:tcW w:type="dxa" w:w="4965"/>
            <w:tcBorders>
              <w:bottom w:val="single" w:sz="6" w:space="4" w:color="D8DCE3"/>
            </w:tcBorders>
          </w:tcPr>
          <w:p>
            <w:pPr>
              <w:spacing w:after="60"/>
            </w:pPr>
            <w:r/>
            <w:r>
              <w:rPr>
                <w:rFonts w:ascii="Georgia" w:hAnsi="Georgia"/>
                <w:sz w:val="18"/>
              </w:rPr>
              <w:t>A non-goal</w:t>
            </w:r>
          </w:p>
        </w:tc>
      </w:tr>
    </w:tbl>
    <w:p>
      <w:pPr>
        <w:spacing w:after="40"/>
      </w:pPr>
    </w:p>
    <w:p>
      <w:r>
        <w:rPr>
          <w:rFonts w:ascii="Georgia" w:hAnsi="Georgia"/>
        </w:rPr>
        <w:t xml:space="preserve">Seventeen terms were added at version 0.2.0. Five of them existed only as </w:t>
      </w:r>
      <w:r>
        <w:rPr>
          <w:rFonts w:ascii="Consolas" w:hAnsi="Consolas"/>
          <w:sz w:val="19"/>
        </w:rPr>
        <w:t>see_also</w:t>
      </w:r>
      <w:r>
        <w:rPr>
          <w:rFonts w:ascii="Georgia" w:hAnsi="Georgia"/>
        </w:rPr>
        <w:t xml:space="preserve"> pointers to nothing, which is this set's own named blocking defect; the rest were load-bearing inside acceptance criteria while being defined nowhere: threshold, grade, grading pass, state, verdict, override, unit of work and the rest. The five tests are now numbered, because the set cites "test 5" by number five times.</w:t>
      </w:r>
    </w:p>
    <w:p>
      <w:r>
        <w:rPr>
          <w:rFonts w:ascii="Georgia" w:hAnsi="Georgia"/>
        </w:rPr>
        <w:t>The "Most often confused with" column above is the one that earns its keep. Every one of these has been confused in practice, and three of them, golden thread, blocking defect and score, carry a cost when confused: a team picks the wrong journey for release 1, ships a section with a known fault because the number looked good, or believes a well-written specification means a sound product.</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naming a person, an input, an output and a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numbered properties a statement must have to be a product requirement. Test 1, it names a user or a stakeholder. Test 2, it states an outcome a person can see. Test 3, it has a pass-or-fail acceptance test. Test 4, it has a priority. Test 5, it does not name the component or the technology that delivers it. The numbers are part of the term: the set refers to "test 5" by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time-boxed piece of work whose only output is an answer to an open question, or a recorded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point at which it is revisited.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steps one user takes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provided it also carries no blocking defect. It is 70.</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dimension, the rubric dimension that scored lowest, which the set also calls the section's weakest part. A grade is what an expert is shown;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one of four in this order: </w:t>
            </w:r>
            <w:r>
              <w:rPr>
                <w:rFonts w:ascii="Consolas" w:hAnsi="Consolas"/>
                <w:sz w:val="19"/>
              </w:rPr>
              <w:t>pending</w:t>
            </w:r>
            <w:r>
              <w:rPr>
                <w:rFonts w:ascii="Georgia" w:hAnsi="Georgia"/>
                <w:sz w:val="19"/>
              </w:rPr>
              <w:t xml:space="preserve"> (not yet interviewed, and shown to the expert as not started),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w:t>
            </w:r>
            <w:r>
              <w:rPr>
                <w:rFonts w:ascii="Consolas" w:hAnsi="Consolas"/>
                <w:sz w:val="19"/>
              </w:rPr>
              <w:t>final</w:t>
            </w:r>
            <w:r>
              <w:rPr>
                <w:rFonts w:ascii="Georgia" w:hAnsi="Georgia"/>
                <w:sz w:val="19"/>
              </w:rPr>
              <w:t xml:space="preserve"> (decided by the expert). A section is offered </w:t>
            </w:r>
            <w:r>
              <w:rPr>
                <w:rFonts w:ascii="Consolas" w:hAnsi="Consolas"/>
                <w:sz w:val="19"/>
              </w:rPr>
              <w:t>review</w:t>
            </w:r>
            <w:r>
              <w:rPr>
                <w:rFonts w:ascii="Georgia" w:hAnsi="Georgia"/>
                <w:sz w:val="19"/>
              </w:rPr>
              <w:t xml:space="preserve"> at a score of 70 or more with no blocking defects, and moves there when the expert accepts. It reaches </w:t>
            </w:r>
            <w:r>
              <w:rPr>
                <w:rFonts w:ascii="Consolas" w:hAnsi="Consolas"/>
                <w:sz w:val="19"/>
              </w:rPr>
              <w:t>final</w:t>
            </w:r>
            <w:r>
              <w:rPr>
                <w:rFonts w:ascii="Georgia" w:hAnsi="Georgia"/>
                <w:sz w:val="19"/>
              </w:rPr>
              <w:t xml:space="preserve"> when the expert sets it final under TR-002. Approval under TR-001 covers the whole set, not one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threshold. The threshold is the score a gate needs. The state is where the section stands.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approval. An override moves one section past its gate, and an approval covers the whole set.</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They are product content, shipped and versioned with the product, and the set states their count and their verdict vocabulary rather than restating the list.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an engagement, a load, a claim, a case, a patient. Every question the expert is asked uses their word for it.</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This set uses MoSCoW and not RFC 2119's MUST and SHOULD.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labeled an illustration, not a design.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person who decides whether a set is approved for a release: the sponsor, or the expert when no sponsor exists. They approve, approve with conditions, or reject, and the decision is recorded in section 15 against a named version. An approver who approves with conditions approves the set on the conditions they state, and the set reads as approved with conditions until that same approver clears every one.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passes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It starts after the expert reads what the section is for, puts one or two questions at a time, and ends when the section has enough material to be drafted, when the expert says they have nothing more to add, or when their answers would already score the section 70 or more with no blocking defect. Only the expert answers in it.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the report of its buildability review.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pPr>
        <w:keepNext/>
        <w:spacing w:before="220" w:after="60"/>
        <w:ind w:left="115"/>
        <w:pBdr>
          <w:left w:val="single" w:sz="18" w:space="0" w:color="1F4E79"/>
        </w:pBdr>
      </w:pPr>
      <w:r>
        <w:rPr>
          <w:rFonts w:ascii="Calibri" w:hAnsi="Calibri"/>
          <w:b/>
          <w:sz w:val="20"/>
        </w:rPr>
        <w:t>Backlog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features, epics and stories a delivery lead derives from an approved set, in stages ST-007 and ST-008 of journey J-002. Every level of it names the id it came from.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feature</w:t>
            </w:r>
          </w:p>
          <w:p>
            <w:pPr>
              <w:spacing w:after="40"/>
              <w:ind w:left="173"/>
            </w:pPr>
            <w:r>
              <w:rPr>
                <w:rFonts w:ascii="Georgia" w:hAnsi="Georgia"/>
                <w:sz w:val="19"/>
              </w:rPr>
              <w:t>• epic</w:t>
            </w:r>
          </w:p>
          <w:p>
            <w:pPr>
              <w:spacing w:after="40"/>
              <w:ind w:left="173"/>
            </w:pPr>
            <w:r>
              <w:rPr>
                <w:rFonts w:ascii="Georgia" w:hAnsi="Georgia"/>
                <w:sz w:val="19"/>
              </w:rPr>
              <w:t>• story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says what the product must do; the backlog is derived from it once it is approved.</w:t>
            </w:r>
          </w:p>
        </w:tc>
      </w:tr>
    </w:tbl>
    <w:p>
      <w:pPr>
        <w:spacing w:after="40"/>
      </w:pPr>
    </w:p>
    <w:p>
      <w:pPr>
        <w:keepNext/>
        <w:spacing w:before="220" w:after="60"/>
        <w:ind w:left="115"/>
        <w:pBdr>
          <w:left w:val="single" w:sz="18" w:space="0" w:color="1F4E79"/>
        </w:pBdr>
      </w:pPr>
      <w:r>
        <w:rPr>
          <w:rFonts w:ascii="Calibri" w:hAnsi="Calibri"/>
          <w:b/>
          <w:sz w:val="20"/>
        </w:rPr>
        <w:t>Feature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journey stage, carrying the ids of the requirements on that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feature holds every requirement of one stage.</w:t>
            </w:r>
          </w:p>
        </w:tc>
      </w:tr>
    </w:tbl>
    <w:p>
      <w:pPr>
        <w:spacing w:after="40"/>
      </w:pPr>
    </w:p>
    <w:p>
      <w:pPr>
        <w:keepNext/>
        <w:spacing w:before="220" w:after="60"/>
        <w:ind w:left="115"/>
        <w:pBdr>
          <w:left w:val="single" w:sz="18" w:space="0" w:color="1F4E79"/>
        </w:pBdr>
      </w:pPr>
      <w:r>
        <w:rPr>
          <w:rFonts w:ascii="Calibri" w:hAnsi="Calibri"/>
          <w:b/>
          <w:sz w:val="20"/>
        </w:rPr>
        <w:t>Epic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backlog items scoped by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release line</w:t>
            </w:r>
          </w:p>
        </w:tc>
      </w:tr>
    </w:tbl>
    <w:p>
      <w:pPr>
        <w:spacing w:after="40"/>
      </w:pPr>
    </w:p>
    <w:p>
      <w:pPr>
        <w:keepNext/>
        <w:spacing w:before="220" w:after="60"/>
        <w:ind w:left="115"/>
        <w:pBdr>
          <w:left w:val="single" w:sz="18" w:space="0" w:color="1F4E79"/>
        </w:pBdr>
      </w:pPr>
      <w:r>
        <w:rPr>
          <w:rFonts w:ascii="Calibri" w:hAnsi="Calibri"/>
          <w:b/>
          <w:sz w:val="20"/>
        </w:rPr>
        <w:t>Story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requirement, in the persona's own words, with the requirement's acceptance criteria as its own.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requirement</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The requirement is in the set; the story is derived from it.</w:t>
            </w:r>
          </w:p>
        </w:tc>
      </w:tr>
    </w:tbl>
    <w:p>
      <w:pPr>
        <w:spacing w:after="40"/>
      </w:pPr>
    </w:p>
    <w:p>
      <w:pPr>
        <w:keepNext/>
        <w:spacing w:before="220" w:after="60"/>
        <w:ind w:left="115"/>
        <w:pBdr>
          <w:left w:val="single" w:sz="18" w:space="0" w:color="1F4E79"/>
        </w:pBdr>
      </w:pPr>
      <w:r>
        <w:rPr>
          <w:rFonts w:ascii="Calibri" w:hAnsi="Calibri"/>
          <w:b/>
          <w:sz w:val="20"/>
        </w:rPr>
        <w:t>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with the domain knowledge, persona PER-001, who answers the interviews and owns the set. The expert decides what the product must do, the domain's own terms and the state of each section, and is the only one who may state a domain fact as true.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domain</w:t>
            </w:r>
          </w:p>
          <w:p>
            <w:pPr>
              <w:spacing w:after="40"/>
              <w:ind w:left="173"/>
            </w:pPr>
            <w:r>
              <w:rPr>
                <w:rFonts w:ascii="Georgia" w:hAnsi="Georgia"/>
                <w:sz w:val="19"/>
              </w:rPr>
              <w:t>• interview</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expert approves their own set only when no sponsor exists, under TR-001.</w:t>
            </w:r>
          </w:p>
        </w:tc>
      </w:tr>
    </w:tbl>
    <w:p>
      <w:pPr>
        <w:spacing w:after="40"/>
      </w:pPr>
    </w:p>
    <w:p>
      <w:pPr>
        <w:keepNext/>
        <w:spacing w:before="220" w:after="60"/>
        <w:ind w:left="115"/>
        <w:pBdr>
          <w:left w:val="single" w:sz="18" w:space="0" w:color="1F4E79"/>
        </w:pBdr>
      </w:pPr>
      <w:r>
        <w:rPr>
          <w:rFonts w:ascii="Calibri" w:hAnsi="Calibri"/>
          <w:b/>
          <w:sz w:val="20"/>
        </w:rPr>
        <w:t>Sponsor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commits budget and a date, persona PER-003, and who approves the set for a release under TR-001. The sponsor may approve, approve with conditions, or reject.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Where no sponsor exists, the expert approves their own set under TR-001, and the change log records that no separate approver existed.</w:t>
            </w:r>
          </w:p>
        </w:tc>
      </w:tr>
    </w:tbl>
    <w:p>
      <w:pPr>
        <w:spacing w:after="40"/>
      </w:pPr>
    </w:p>
    <w:p>
      <w:pPr>
        <w:keepNext/>
        <w:spacing w:before="220" w:after="60"/>
        <w:ind w:left="115"/>
        <w:pBdr>
          <w:left w:val="single" w:sz="18" w:space="0" w:color="1F4E79"/>
        </w:pBdr>
      </w:pPr>
      <w:r>
        <w:rPr>
          <w:rFonts w:ascii="Calibri" w:hAnsi="Calibri"/>
          <w:b/>
          <w:sz w:val="20"/>
        </w:rPr>
        <w:t>Engineering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has to build from the approved set, persona PER-002. The engineering lead receives the set at handover, records their own verdict on its buildability review in ST-009, and receives each candidate architecture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handover</w:t>
            </w:r>
          </w:p>
          <w:p>
            <w:pPr>
              <w:spacing w:after="40"/>
              <w:ind w:left="173"/>
            </w:pPr>
            <w:r>
              <w:rPr>
                <w:rFonts w:ascii="Georgia" w:hAnsi="Georgia"/>
                <w:sz w:val="19"/>
              </w:rPr>
              <w:t>• buildability review</w:t>
            </w:r>
          </w:p>
          <w:p>
            <w:pPr>
              <w:spacing w:after="40"/>
              <w:ind w:left="173"/>
            </w:pPr>
            <w:r>
              <w:rPr>
                <w:rFonts w:ascii="Georgia" w:hAnsi="Georgia"/>
                <w:sz w:val="19"/>
              </w:rPr>
              <w:t>• candidate architecture decision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engineering lead was not in the interview and builds from what the set says, not from what the expert meant.</w:t>
            </w:r>
          </w:p>
        </w:tc>
      </w:tr>
    </w:tbl>
    <w:p>
      <w:pPr>
        <w:spacing w:after="40"/>
      </w:pPr>
    </w:p>
    <w:p>
      <w:pPr>
        <w:keepNext/>
        <w:spacing w:before="220" w:after="60"/>
        <w:ind w:left="115"/>
        <w:pBdr>
          <w:left w:val="single" w:sz="18" w:space="0" w:color="1F4E79"/>
        </w:pBdr>
      </w:pPr>
      <w:r>
        <w:rPr>
          <w:rFonts w:ascii="Calibri" w:hAnsi="Calibri"/>
          <w:b/>
          <w:sz w:val="20"/>
        </w:rPr>
        <w:t>Delivery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turns an approved set into a backlog and runs the story-mapping workshop, persona PER-004, in stages ST-007 and ST-008.</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engineering lead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engineering lead. The delivery lead plans the work from the set, and the engineering lead builds it.</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role from section 4, such as PER-001, the expert. Every requirement, journey, and trust rule names the persona it serves or who acts.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journey</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numbered entry in a section with its own id, such as a problem, a persona, a stage, a requirement, or an open question. A section is made of its items and the prose around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p>
            <w:pPr>
              <w:spacing w:after="40"/>
              <w:ind w:left="173"/>
            </w:pPr>
            <w:r>
              <w:rPr>
                <w:rFonts w:ascii="Georgia" w:hAnsi="Georgia"/>
                <w:sz w:val="19"/>
              </w:rPr>
              <w:t>•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line or a field of an entry. A requirement and all its acceptance criteria are one item.</w:t>
            </w:r>
          </w:p>
        </w:tc>
      </w:tr>
    </w:tbl>
    <w:p>
      <w:pPr>
        <w:spacing w:after="40"/>
      </w:pPr>
    </w:p>
    <w:p>
      <w:pPr>
        <w:keepNext/>
        <w:spacing w:before="220" w:after="60"/>
        <w:ind w:left="115"/>
        <w:pBdr>
          <w:left w:val="single" w:sz="18" w:space="0" w:color="1F4E79"/>
        </w:pBdr>
      </w:pPr>
      <w:r>
        <w:rPr>
          <w:rFonts w:ascii="Calibri" w:hAnsi="Calibri"/>
          <w:b/>
          <w:sz w:val="20"/>
        </w:rPr>
        <w:t>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label that names one item, such as FR-008 or Q-001. Each id is unique in the set, and ids are never renumbered or reused.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item</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Link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reference from one item to another by its id, such as the journey stage a requirement serves or the requirements an open question blocks.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tc>
      </w:tr>
    </w:tbl>
    <w:p>
      <w:pPr>
        <w:spacing w:after="40"/>
      </w:pPr>
    </w:p>
    <w:p>
      <w:pPr>
        <w:keepNext/>
        <w:spacing w:before="220" w:after="60"/>
        <w:ind w:left="115"/>
        <w:pBdr>
          <w:left w:val="single" w:sz="18" w:space="0" w:color="1F4E79"/>
        </w:pBdr>
      </w:pPr>
      <w:r>
        <w:rPr>
          <w:rFonts w:ascii="Calibri" w:hAnsi="Calibri"/>
          <w:b/>
          <w:sz w:val="20"/>
        </w:rPr>
        <w:t>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How much a requirement or a scenario matters to a release, stated in MoSCoW terms. Only the expert gives a priority.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moscow</w:t>
            </w:r>
          </w:p>
        </w:tc>
      </w:tr>
    </w:tbl>
    <w:p>
      <w:pPr>
        <w:spacing w:after="40"/>
      </w:pPr>
    </w:p>
    <w:p>
      <w:pPr>
        <w:keepNext/>
        <w:spacing w:before="220" w:after="60"/>
        <w:ind w:left="115"/>
        <w:pBdr>
          <w:left w:val="single" w:sz="18" w:space="0" w:color="1F4E79"/>
        </w:pBdr>
      </w:pPr>
      <w:r>
        <w:rPr>
          <w:rFonts w:ascii="Calibri" w:hAnsi="Calibri"/>
          <w:b/>
          <w:sz w:val="20"/>
        </w:rPr>
        <w:t>Teaching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is told about a section before its interview: what it is, why it matters, and what belongs in it, in no more than ten lines and with an example from the expert's domain.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Decider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named person who answers an open question by its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bl>
    <w:p>
      <w:pPr>
        <w:spacing w:after="40"/>
      </w:pPr>
    </w:p>
    <w:p>
      <w:pPr>
        <w:keepNext/>
        <w:spacing w:before="220" w:after="60"/>
        <w:ind w:left="115"/>
        <w:pBdr>
          <w:left w:val="single" w:sz="18" w:space="0" w:color="1F4E79"/>
        </w:pBdr>
      </w:pPr>
      <w:r>
        <w:rPr>
          <w:rFonts w:ascii="Calibri" w:hAnsi="Calibri"/>
          <w:b/>
          <w:sz w:val="20"/>
        </w:rPr>
        <w:t>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group of journey stages delivered together, such as REL-001, with its exit criteria. The first release holds exactly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scope</w:t>
            </w:r>
          </w:p>
          <w:p>
            <w:pPr>
              <w:spacing w:after="40"/>
              <w:ind w:left="173"/>
            </w:pPr>
            <w:r>
              <w:rPr>
                <w:rFonts w:ascii="Georgia" w:hAnsi="Georgia"/>
                <w:sz w:val="19"/>
              </w:rPr>
              <w:t>• exit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release line. The release line is the smallest set of stages that completes the golden thread, and a release is what ships. Release 1 ships exactly the release line.</w:t>
            </w:r>
          </w:p>
        </w:tc>
      </w:tr>
    </w:tbl>
    <w:p>
      <w:pPr>
        <w:spacing w:after="40"/>
      </w:pPr>
    </w:p>
    <w:p>
      <w:pPr>
        <w:keepNext/>
        <w:spacing w:before="220" w:after="60"/>
        <w:ind w:left="115"/>
        <w:pBdr>
          <w:left w:val="single" w:sz="18" w:space="0" w:color="1F4E79"/>
        </w:pBdr>
      </w:pPr>
      <w:r>
        <w:rPr>
          <w:rFonts w:ascii="Calibri" w:hAnsi="Calibri"/>
          <w:b/>
          <w:sz w:val="20"/>
        </w:rPr>
        <w:t>Vocabulary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unit of work and the words the expert says an outsider would misread, each with the expert's own meaning. The expert states it once, before the first section. Every later question uses it, and it does not change when the expert resumes.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Anyone on the team who builds from the set and was not in the interview. The engineering lead is one. An acceptance criterion passes the five tests only when an engineer could write a test from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builder</w:t>
            </w:r>
          </w:p>
        </w:tc>
      </w:tr>
    </w:tbl>
    <w:p>
      <w:pPr>
        <w:spacing w:after="40"/>
      </w:pPr>
    </w:p>
    <w:p>
      <w:pPr>
        <w:keepNext/>
        <w:spacing w:before="220" w:after="60"/>
        <w:ind w:left="115"/>
        <w:pBdr>
          <w:left w:val="single" w:sz="18" w:space="0" w:color="1F4E79"/>
        </w:pBdr>
      </w:pPr>
      <w:r>
        <w:rPr>
          <w:rFonts w:ascii="Calibri" w:hAnsi="Calibri"/>
          <w:b/>
          <w:sz w:val="20"/>
        </w:rPr>
        <w:t>Scenario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concrete path a persona takes through one or more journey stages, recorded in section 5 with its steps and the outcome they see. A scenario shows a stage working, or failing, with real content.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journey. The journey names the stages, and a scenario walks one path through them.</w:t>
            </w:r>
          </w:p>
        </w:tc>
      </w:tr>
    </w:tbl>
    <w:p>
      <w:pPr>
        <w:spacing w:after="40"/>
      </w:pPr>
    </w:p>
    <w:p>
      <w:pPr>
        <w:keepNext/>
        <w:spacing w:before="220" w:after="60"/>
        <w:ind w:left="115"/>
        <w:pBdr>
          <w:left w:val="single" w:sz="18" w:space="0" w:color="1F4E79"/>
        </w:pBdr>
      </w:pPr>
      <w:r>
        <w:rPr>
          <w:rFonts w:ascii="Calibri" w:hAnsi="Calibri"/>
          <w:b/>
          <w:sz w:val="20"/>
        </w:rPr>
        <w:t>Trust rule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in section 10 that names who decides one decision, at which stages, on what evidence, and what happens when that person is away. A rule marked never delegated is always decided by a person.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meeting in which the delivery lead and the team map a backlog against the journeys of an approved set. It needs a backbone agreed before it starts.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backbone</w:t>
            </w:r>
          </w:p>
          <w:p>
            <w:pPr>
              <w:spacing w:after="40"/>
              <w:ind w:left="173"/>
            </w:pPr>
            <w:r>
              <w:rPr>
                <w:rFonts w:ascii="Georgia" w:hAnsi="Georgia"/>
                <w:sz w:val="19"/>
              </w:rPr>
              <w:t>• backlog</w:t>
            </w:r>
          </w:p>
          <w:p>
            <w:pPr>
              <w:spacing w:after="40"/>
              <w:ind w:left="173"/>
            </w:pPr>
            <w:r>
              <w:rPr>
                <w:rFonts w:ascii="Georgia" w:hAnsi="Georgia"/>
                <w:sz w:val="19"/>
              </w:rPr>
              <w:t>• delivery lead</w:t>
            </w:r>
          </w:p>
        </w:tc>
      </w:tr>
    </w:tbl>
    <w:p>
      <w:pPr>
        <w:spacing w:after="40"/>
      </w:pPr>
    </w:p>
    <w:p>
      <w:pPr>
        <w:keepNext/>
        <w:spacing w:before="220" w:after="60"/>
        <w:ind w:left="115"/>
        <w:pBdr>
          <w:left w:val="single" w:sz="18" w:space="0" w:color="1F4E79"/>
        </w:pBdr>
      </w:pPr>
      <w:r>
        <w:rPr>
          <w:rFonts w:ascii="Calibri" w:hAnsi="Calibri"/>
          <w:b/>
          <w:sz w:val="20"/>
        </w:rPr>
        <w:t>Backbone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ordered journey stages that a story-mapping workshop maps features against. A set with no journey gives the workshop no backbone, so the workshop invents one in the room.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story-mapping workshop</w:t>
            </w:r>
          </w:p>
        </w:tc>
      </w:tr>
    </w:tbl>
    <w:p>
      <w:pPr>
        <w:spacing w:after="40"/>
      </w:pPr>
    </w:p>
    <w:p>
      <w:pPr>
        <w:keepNext/>
        <w:spacing w:before="220" w:after="60"/>
        <w:ind w:left="115"/>
        <w:pBdr>
          <w:left w:val="single" w:sz="18" w:space="0" w:color="1F4E79"/>
        </w:pBdr>
      </w:pPr>
      <w:r>
        <w:rPr>
          <w:rFonts w:ascii="Calibri" w:hAnsi="Calibri"/>
          <w:b/>
          <w:sz w:val="20"/>
        </w:rPr>
        <w:t>Question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an interview may put for one section. The interview ends before the list does when the expert's answers would already pass the section.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tc>
      </w:tr>
    </w:tbl>
    <w:p>
      <w:pPr>
        <w:spacing w:after="40"/>
      </w:pPr>
    </w:p>
    <w:p>
      <w:pPr>
        <w:keepNext/>
        <w:spacing w:before="220" w:after="60"/>
        <w:ind w:left="115"/>
        <w:pBdr>
          <w:left w:val="single" w:sz="18" w:space="0" w:color="1F4E79"/>
        </w:pBdr>
      </w:pPr>
      <w:r>
        <w:rPr>
          <w:rFonts w:ascii="Calibri" w:hAnsi="Calibri"/>
          <w:b/>
          <w:sz w:val="20"/>
        </w:rPr>
        <w:t>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section must pass to move to its next state, such as a score of 70 or more with no blocking defect for </w:t>
            </w:r>
            <w:r>
              <w:rPr>
                <w:rFonts w:ascii="Consolas" w:hAnsi="Consolas"/>
                <w:sz w:val="19"/>
              </w:rPr>
              <w:t>review</w:t>
            </w:r>
            <w:r>
              <w:rPr>
                <w:rFonts w:ascii="Georgia" w:hAnsi="Georgia"/>
                <w:sz w:val="19"/>
              </w:rPr>
              <w:t>. The expert may override a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override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threshold. The threshold is the score alone, and a gate also needs no blocking defect.</w:t>
            </w:r>
          </w:p>
        </w:tc>
      </w:tr>
    </w:tbl>
    <w:p>
      <w:pPr>
        <w:spacing w:after="40"/>
      </w:pPr>
    </w:p>
    <w:p>
      <w:pPr>
        <w:keepNext/>
        <w:spacing w:before="220" w:after="60"/>
        <w:ind w:left="115"/>
        <w:pBdr>
          <w:left w:val="single" w:sz="18" w:space="0" w:color="1F4E79"/>
        </w:pBdr>
      </w:pPr>
      <w:r>
        <w:rPr>
          <w:rFonts w:ascii="Calibri" w:hAnsi="Calibri"/>
          <w:b/>
          <w:sz w:val="20"/>
        </w:rPr>
        <w:t>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product will not do in a release, with a point at which it is revisited, recorded in section 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non-goal</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non-goal. A non-goal is never done, and an out-of-scope item is not done yet.</w:t>
            </w:r>
          </w:p>
        </w:tc>
      </w:tr>
    </w:tbl>
    <w:p>
      <w:pPr>
        <w:spacing w:after="40"/>
      </w:pPr>
    </w:p>
    <w:p>
      <w:pPr>
        <w:keepNext/>
        <w:spacing w:before="220" w:after="60"/>
        <w:ind w:left="115"/>
        <w:pBdr>
          <w:left w:val="single" w:sz="18" w:space="0" w:color="1F4E79"/>
        </w:pBdr>
      </w:pPr>
      <w:r>
        <w:rPr>
          <w:rFonts w:ascii="Calibri" w:hAnsi="Calibri"/>
          <w:b/>
          <w:sz w:val="20"/>
        </w:rPr>
        <w:t>Objection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finding that the document supports and that the expert disputes. Its reason is stated to the expert once, and the expert's decision is recorded. The decision is reaffirmed when the expert keeps it after hearing the reason. A finding that names the same item for the same reason is the same objection, and a later grading pass does not raise it again as new.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refuted finding. A finding the document does not support is dropped, not kept as an objection.</w:t>
            </w:r>
          </w:p>
        </w:tc>
      </w:tr>
    </w:tbl>
    <w:p>
      <w:pPr>
        <w:spacing w:after="40"/>
      </w:pPr>
    </w:p>
    <w:p>
      <w:pPr>
        <w:keepNext/>
        <w:spacing w:before="220" w:after="60"/>
        <w:ind w:left="115"/>
        <w:pBdr>
          <w:left w:val="single" w:sz="18" w:space="0" w:color="1F4E79"/>
        </w:pBdr>
      </w:pPr>
      <w:r>
        <w:rPr>
          <w:rFonts w:ascii="Calibri" w:hAnsi="Calibri"/>
          <w:b/>
          <w:sz w:val="20"/>
        </w:rPr>
        <w:t>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assistant conversation the expert is already working in, which the product works inside, as dependency D-001 records. A session ends when that conversation ends, and the set stays where it was written.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dependency</w:t>
            </w:r>
          </w:p>
        </w:tc>
      </w:tr>
    </w:tbl>
    <w:p>
      <w:pPr>
        <w:spacing w:after="40"/>
      </w:pPr>
    </w:p>
    <w:p>
      <w:pPr>
        <w:keepNext/>
        <w:spacing w:before="220" w:after="60"/>
        <w:ind w:left="115"/>
        <w:pBdr>
          <w:left w:val="single" w:sz="18" w:space="0" w:color="1F4E79"/>
        </w:pBdr>
      </w:pPr>
      <w:r>
        <w:rPr>
          <w:rFonts w:ascii="Calibri" w:hAnsi="Calibri"/>
          <w:b/>
          <w:sz w:val="20"/>
        </w:rPr>
        <w:t>Change 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15, which records each version of the set with its date, its author, and the sections it changed, and every approval and override.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version</w:t>
            </w:r>
          </w:p>
          <w:p>
            <w:pPr>
              <w:spacing w:after="40"/>
              <w:ind w:left="173"/>
            </w:pP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Target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 measure must reach: where an objective says it will be, or what a non-functional requirement must meet, such as under 20 seconds at p95.</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baseline</w:t>
            </w:r>
          </w:p>
        </w:tc>
      </w:tr>
    </w:tbl>
    <w:p>
      <w:pPr>
        <w:spacing w:after="40"/>
      </w:pPr>
    </w:p>
    <w:p>
      <w:pPr>
        <w:keepNext/>
        <w:spacing w:before="220" w:after="60"/>
        <w:ind w:left="115"/>
        <w:pBdr>
          <w:left w:val="single" w:sz="18" w:space="0" w:color="1F4E79"/>
        </w:pBdr>
      </w:pPr>
      <w:r>
        <w:rPr>
          <w:rFonts w:ascii="Calibri" w:hAnsi="Calibri"/>
          <w:b/>
          <w:sz w:val="20"/>
        </w:rPr>
        <w:t>Exit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must be true before a release counts as done, stated with each release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Non-functional 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quality the product must have, such as speed, accessibility, or retention, recorded in section 8 with a measure and a target. It applies across requirements, not to one user's capability.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target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in section 7. A requirement names a user and what they can do.</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 · 79/100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Six glossary terms, FR-017 without view names, FR-010's wait on Q-007, the status-quo edge; counted evidence for P-001 to P-004; C-004 moved out of section 9; FR-008 and FR-012 restated; interview, handover, and dependency defined; FR-018 on request within 10 seconds; backlog terms, expert, and sponsor defined; FR-008 checks the set for one item stated two ways; final set by the expert; ten more glossary terms; the versioning policy</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from the specification review: problems, objectives, competitors, decision stages, and scenario views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every screen and report, and recorded reasons for the grades</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Every defect the grading and the buildability review found, over two rounds</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all sixteen sections</w:t>
            </w:r>
          </w:p>
        </w:tc>
      </w:tr>
    </w:tbl>
    <w:p>
      <w:pPr>
        <w:spacing w:after="40"/>
      </w:pP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fixes that add no content.</w:t>
      </w:r>
    </w:p>
    <w:p>
      <w:pPr>
        <w:pStyle w:val="ListBullet"/>
        <w:spacing w:after="60"/>
      </w:pPr>
      <w:r>
        <w:t>A minor version, such as 0.8 to 0.9, is for new content in the set or in the product.</w:t>
      </w:r>
    </w:p>
    <w:p>
      <w:pPr>
        <w:pStyle w:val="ListBullet"/>
        <w:spacing w:after="60"/>
      </w:pPr>
      <w:r>
        <w:t>A change to the release line or to the golden thread takes the set to the next major version. From 0.x, the next major version is 1.0.</w:t>
      </w:r>
    </w:p>
    <w:p>
      <w:r>
        <w:rPr>
          <w:rFonts w:ascii="Georgia" w:hAnsi="Georgia"/>
        </w:rPr>
        <w:t>The expert set this policy at 0.9.0.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reach </w:t>
      </w:r>
      <w:r>
        <w:rPr>
          <w:rFonts w:ascii="Consolas" w:hAnsi="Consolas"/>
          <w:sz w:val="19"/>
        </w:rPr>
        <w:t>final</w:t>
      </w:r>
      <w:r>
        <w:rPr>
          <w:rFonts w:ascii="Georgia" w:hAnsi="Georgia"/>
        </w:rPr>
        <w:t xml:space="preserve"> without an approval recorded here, per TR-001.</w:t>
      </w:r>
    </w:p>
    <w:p>
      <w:pPr>
        <w:keepNext/>
        <w:spacing w:before="220" w:after="60"/>
        <w:ind w:left="115"/>
        <w:pBdr>
          <w:left w:val="single" w:sz="18" w:space="0" w:color="1F4E79"/>
        </w:pBdr>
      </w:pPr>
      <w:r>
        <w:rPr>
          <w:rFonts w:ascii="Calibri" w:hAnsi="Calibri"/>
          <w:b/>
          <w:sz w:val="20"/>
        </w:rPr>
        <w:t>Fixes the blocking defects the 0.8.1 grading found that do not wait on the expert. The glossary defines requirement, acceptance criteria, gap, version, domain, and reading order. FR-017's third criterion states what the expert sees when they go back, and names no view. Section 7 says that FR-010 waits on Q-007, which blocks ST-004. The status-quo competitor's edge states what an engineer who was not in the room receives at handover. Each problem in section 1 has one counted case, with its source and date. On the expert's decision, C-004 leaves section 9, which now holds no constraints. Its rule lives in TR-005 and FR-006, and its id is not reused. The constraints section may now be empty. After the 0.9.0 regrade, FR-008 states the expert's need, FR-012 reports a requirement's wait on an open question, and the glossary defines interview, handover, and dependency and names no storage or drawing format. After the second regrade, FR-018 shows a changed section and a new grade within 10 seconds of a request to refresh, FR-008 tests that every item is shown in a sentence or a table row, and the glossary defines backlog, feature, epic, story, expert, and sponsor. After the third regrade, FR-008 reports an id, priority or link that two places in the set state differently, FR-002 calls the first state pending, and the glossary says that the expert sets a section final under TR-002. The glossary also defines engineering lead, delivery lead, persona, item, id, link, priority, teaching, decider, release, vocabulary, engineer, scenario, trust rule, story-mapping workshop, backbone, question list, gate, out of scope, objection, session, change log, target, exit criteria, and non-functional requirement, and FR-004 names no field. Journeys and the scope say "an engineer" for the person who builds from the set. The set states its versioning policy before 1.0. This is a minor version because the policy and the evidence are new content.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7</w:t>
            </w:r>
          </w:p>
          <w:p>
            <w:pPr>
              <w:spacing w:after="40"/>
              <w:ind w:left="173"/>
            </w:pPr>
            <w:r>
              <w:rPr>
                <w:rFonts w:ascii="Georgia" w:hAnsi="Georgia"/>
                <w:sz w:val="19"/>
              </w:rPr>
              <w:t>• 9</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p>
      <w:pPr>
        <w:keepNext/>
        <w:spacing w:before="220" w:after="60"/>
        <w:ind w:left="115"/>
        <w:pBdr>
          <w:left w:val="single" w:sz="18" w:space="0" w:color="1F4E79"/>
        </w:pBdr>
      </w:pPr>
      <w:r>
        <w:rPr>
          <w:rFonts w:ascii="Calibri" w:hAnsi="Calibri"/>
          <w:b/>
          <w:sz w:val="20"/>
        </w:rPr>
        <w:t>Fixes the blocking defects that do not wait on evidence. 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report under TR-006, and REL-002 includes it. References to the moved items are updated across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Adds the links the specification review asked for. Each problem names its persona, and each objective names the problems it addresses and the open question that will establish its baseline. Competitors have a kind, with the status quo named. Each decision rule names the stages it governs. Scenarios say where the user meets them, SC-001 names the stages it spans, and each screen or report scenario links its wireframes. The root's measure states its target. Section 11 now says D-002 and D-003 fall on R1's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Re-grades user journeys and non-functional requirements with recorded reasons; their scores moved from 90 to 88 and from 79 to 82 with no change to either document.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1"/>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0.9.0,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