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2"/>
        <w:gridCol w:w="3429"/>
        <w:gridCol w:w="1282"/>
        <w:gridCol w:w="1348"/>
        <w:gridCol w:w="1413"/>
      </w:tblGrid>
      <w:tr>
        <w:tc>
          <w:tcPr>
            <w:tcW w:type="dxa" w:w="1023"/>
            <w:tcBorders>
              <w:bottom w:val="single" w:sz="12" w:space="4" w:color="16181D"/>
            </w:tcBorders>
          </w:tcPr>
          <w:p>
            <w:pPr>
              <w:spacing w:after="60"/>
            </w:pPr>
            <w:r/>
            <w:r>
              <w:rPr>
                <w:rFonts w:ascii="Calibri" w:hAnsi="Calibri"/>
                <w:b/>
                <w:caps/>
                <w:color w:val="5C6370"/>
                <w:sz w:val="15"/>
              </w:rPr>
              <w:t>§</w:t>
            </w:r>
          </w:p>
        </w:tc>
        <w:tc>
          <w:tcPr>
            <w:tcW w:type="dxa" w:w="3429"/>
            <w:tcBorders>
              <w:bottom w:val="single" w:sz="12" w:space="4" w:color="16181D"/>
            </w:tcBorders>
          </w:tcPr>
          <w:p>
            <w:pPr>
              <w:spacing w:after="60"/>
            </w:pPr>
            <w:r/>
            <w:r>
              <w:rPr>
                <w:rFonts w:ascii="Calibri" w:hAnsi="Calibri"/>
                <w:b/>
                <w:caps/>
                <w:color w:val="5C6370"/>
                <w:sz w:val="15"/>
              </w:rPr>
              <w:t>Section</w:t>
            </w:r>
          </w:p>
        </w:tc>
        <w:tc>
          <w:tcPr>
            <w:tcW w:type="dxa" w:w="1283"/>
            <w:tcBorders>
              <w:bottom w:val="single" w:sz="12" w:space="4" w:color="16181D"/>
            </w:tcBorders>
          </w:tcPr>
          <w:p>
            <w:pPr>
              <w:spacing w:after="60"/>
            </w:pPr>
            <w:r/>
            <w:r>
              <w:rPr>
                <w:rFonts w:ascii="Calibri" w:hAnsi="Calibri"/>
                <w:b/>
                <w:caps/>
                <w:color w:val="5C6370"/>
                <w:sz w:val="15"/>
              </w:rPr>
              <w:t>Status</w:t>
            </w:r>
          </w:p>
        </w:tc>
        <w:tc>
          <w:tcPr>
            <w:tcW w:type="dxa" w:w="1348"/>
            <w:tcBorders>
              <w:bottom w:val="single" w:sz="12" w:space="4" w:color="16181D"/>
            </w:tcBorders>
          </w:tcPr>
          <w:p>
            <w:pPr>
              <w:spacing w:after="60"/>
            </w:pPr>
            <w:r/>
            <w:r>
              <w:rPr>
                <w:rFonts w:ascii="Calibri" w:hAnsi="Calibri"/>
                <w:b/>
                <w:caps/>
                <w:color w:val="5C6370"/>
                <w:sz w:val="15"/>
              </w:rPr>
              <w:t>Grade</w:t>
            </w:r>
          </w:p>
        </w:tc>
        <w:tc>
          <w:tcPr>
            <w:tcW w:type="dxa" w:w="1413"/>
            <w:tcBorders>
              <w:bottom w:val="single" w:sz="12" w:space="4" w:color="16181D"/>
            </w:tcBorders>
          </w:tcPr>
          <w:p>
            <w:pPr>
              <w:spacing w:after="60"/>
            </w:pPr>
            <w:r/>
            <w:r>
              <w:rPr>
                <w:rFonts w:ascii="Calibri" w:hAnsi="Calibri"/>
                <w:b/>
                <w:caps/>
                <w:color w:val="5C6370"/>
                <w:sz w:val="15"/>
              </w:rPr>
              <w:t>Blocking</w:t>
            </w:r>
          </w:p>
        </w:tc>
      </w:tr>
      <w:tr>
        <w:tc>
          <w:tcPr>
            <w:tcW w:type="dxa" w:w="1023"/>
            <w:tcBorders>
              <w:bottom w:val="single" w:sz="6" w:space="4" w:color="D8DCE3"/>
            </w:tcBorders>
          </w:tcPr>
          <w:p>
            <w:pPr>
              <w:spacing w:after="60"/>
            </w:pPr>
            <w:r/>
            <w:r>
              <w:rPr>
                <w:rFonts w:ascii="Georgia" w:hAnsi="Georgia"/>
                <w:sz w:val="18"/>
              </w:rPr>
              <w:t>1</w:t>
            </w:r>
          </w:p>
        </w:tc>
        <w:tc>
          <w:tcPr>
            <w:tcW w:type="dxa" w:w="3429"/>
            <w:tcBorders>
              <w:bottom w:val="single" w:sz="6" w:space="4" w:color="D8DCE3"/>
            </w:tcBorders>
          </w:tcPr>
          <w:p>
            <w:pPr>
              <w:spacing w:after="60"/>
            </w:pPr>
            <w:r/>
            <w:r>
              <w:rPr>
                <w:rFonts w:ascii="Georgia" w:hAnsi="Georgia"/>
                <w:sz w:val="18"/>
              </w:rPr>
              <w:t>Problem and opportunity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2</w:t>
            </w:r>
          </w:p>
        </w:tc>
        <w:tc>
          <w:tcPr>
            <w:tcW w:type="dxa" w:w="3429"/>
            <w:tcBorders>
              <w:bottom w:val="single" w:sz="6" w:space="4" w:color="D8DCE3"/>
            </w:tcBorders>
          </w:tcPr>
          <w:p>
            <w:pPr>
              <w:spacing w:after="60"/>
            </w:pPr>
            <w:r/>
            <w:r>
              <w:rPr>
                <w:rFonts w:ascii="Georgia" w:hAnsi="Georgia"/>
                <w:sz w:val="18"/>
              </w:rPr>
              <w:t>Target customer and market</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3</w:t>
            </w:r>
          </w:p>
        </w:tc>
        <w:tc>
          <w:tcPr>
            <w:tcW w:type="dxa" w:w="3429"/>
            <w:tcBorders>
              <w:bottom w:val="single" w:sz="6" w:space="4" w:color="D8DCE3"/>
            </w:tcBorders>
          </w:tcPr>
          <w:p>
            <w:pPr>
              <w:spacing w:after="60"/>
            </w:pPr>
            <w:r/>
            <w:r>
              <w:rPr>
                <w:rFonts w:ascii="Georgia" w:hAnsi="Georgia"/>
                <w:sz w:val="18"/>
              </w:rPr>
              <w:t>Business objectives and success metrics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4</w:t>
            </w:r>
          </w:p>
        </w:tc>
        <w:tc>
          <w:tcPr>
            <w:tcW w:type="dxa" w:w="3429"/>
            <w:tcBorders>
              <w:bottom w:val="single" w:sz="6" w:space="4" w:color="D8DCE3"/>
            </w:tcBorders>
          </w:tcPr>
          <w:p>
            <w:pPr>
              <w:spacing w:after="60"/>
            </w:pPr>
            <w:r/>
            <w:r>
              <w:rPr>
                <w:rFonts w:ascii="Georgia" w:hAnsi="Georgia"/>
                <w:sz w:val="18"/>
              </w:rPr>
              <w:t>Users and personas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User journeys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77/100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Scenarios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6</w:t>
            </w:r>
          </w:p>
        </w:tc>
        <w:tc>
          <w:tcPr>
            <w:tcW w:type="dxa" w:w="3429"/>
            <w:tcBorders>
              <w:bottom w:val="single" w:sz="6" w:space="4" w:color="D8DCE3"/>
            </w:tcBorders>
          </w:tcPr>
          <w:p>
            <w:pPr>
              <w:spacing w:after="60"/>
            </w:pPr>
            <w:r/>
            <w:r>
              <w:rPr>
                <w:rFonts w:ascii="Georgia" w:hAnsi="Georgia"/>
                <w:sz w:val="18"/>
              </w:rPr>
              <w:t>Scope</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81/100</w:t>
            </w:r>
          </w:p>
        </w:tc>
        <w:tc>
          <w:tcPr>
            <w:tcW w:type="dxa" w:w="1413"/>
            <w:tcBorders>
              <w:bottom w:val="single" w:sz="6" w:space="4" w:color="D8DCE3"/>
            </w:tcBorders>
          </w:tcPr>
          <w:p>
            <w:pPr>
              <w:spacing w:after="60"/>
            </w:pPr>
            <w:r/>
            <w:r>
              <w:rPr>
                <w:rFonts w:ascii="Georgia" w:hAnsi="Georgia"/>
                <w:sz w:val="18"/>
              </w:rPr>
              <w:t>2</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Wireframes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8</w:t>
            </w:r>
          </w:p>
        </w:tc>
        <w:tc>
          <w:tcPr>
            <w:tcW w:type="dxa" w:w="3429"/>
            <w:tcBorders>
              <w:bottom w:val="single" w:sz="6" w:space="4" w:color="D8DCE3"/>
            </w:tcBorders>
          </w:tcPr>
          <w:p>
            <w:pPr>
              <w:spacing w:after="60"/>
            </w:pPr>
            <w:r/>
            <w:r>
              <w:rPr>
                <w:rFonts w:ascii="Georgia" w:hAnsi="Georgia"/>
                <w:sz w:val="18"/>
              </w:rPr>
              <w:t>Non-functional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82/100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9</w:t>
            </w:r>
          </w:p>
        </w:tc>
        <w:tc>
          <w:tcPr>
            <w:tcW w:type="dxa" w:w="3429"/>
            <w:tcBorders>
              <w:bottom w:val="single" w:sz="6" w:space="4" w:color="D8DCE3"/>
            </w:tcBorders>
          </w:tcPr>
          <w:p>
            <w:pPr>
              <w:spacing w:after="60"/>
            </w:pPr>
            <w:r/>
            <w:r>
              <w:rPr>
                <w:rFonts w:ascii="Georgia" w:hAnsi="Georgia"/>
                <w:sz w:val="18"/>
              </w:rPr>
              <w:t>Constraints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100/100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10</w:t>
            </w:r>
          </w:p>
        </w:tc>
        <w:tc>
          <w:tcPr>
            <w:tcW w:type="dxa" w:w="3429"/>
            <w:tcBorders>
              <w:bottom w:val="single" w:sz="6" w:space="4" w:color="D8DCE3"/>
            </w:tcBorders>
          </w:tcPr>
          <w:p>
            <w:pPr>
              <w:spacing w:after="60"/>
            </w:pPr>
            <w:r/>
            <w:r>
              <w:rPr>
                <w:rFonts w:ascii="Georgia" w:hAnsi="Georgia"/>
                <w:sz w:val="18"/>
              </w:rPr>
              <w:t>Decision rights and trust rules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11</w:t>
            </w:r>
          </w:p>
        </w:tc>
        <w:tc>
          <w:tcPr>
            <w:tcW w:type="dxa" w:w="3429"/>
            <w:tcBorders>
              <w:bottom w:val="single" w:sz="6" w:space="4" w:color="D8DCE3"/>
            </w:tcBorders>
          </w:tcPr>
          <w:p>
            <w:pPr>
              <w:spacing w:after="60"/>
            </w:pPr>
            <w:r/>
            <w:r>
              <w:rPr>
                <w:rFonts w:ascii="Georgia" w:hAnsi="Georgia"/>
                <w:sz w:val="18"/>
              </w:rPr>
              <w:t>Assumptions, risks and dependencies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12</w:t>
            </w:r>
          </w:p>
        </w:tc>
        <w:tc>
          <w:tcPr>
            <w:tcW w:type="dxa" w:w="3429"/>
            <w:tcBorders>
              <w:bottom w:val="single" w:sz="6" w:space="4" w:color="D8DCE3"/>
            </w:tcBorders>
          </w:tcPr>
          <w:p>
            <w:pPr>
              <w:spacing w:after="60"/>
            </w:pPr>
            <w:r/>
            <w:r>
              <w:rPr>
                <w:rFonts w:ascii="Georgia" w:hAnsi="Georgia"/>
                <w:sz w:val="18"/>
              </w:rPr>
              <w:t>Open questions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13</w:t>
            </w:r>
          </w:p>
        </w:tc>
        <w:tc>
          <w:tcPr>
            <w:tcW w:type="dxa" w:w="3429"/>
            <w:tcBorders>
              <w:bottom w:val="single" w:sz="6" w:space="4" w:color="D8DCE3"/>
            </w:tcBorders>
          </w:tcPr>
          <w:p>
            <w:pPr>
              <w:spacing w:after="60"/>
            </w:pPr>
            <w:r/>
            <w:r>
              <w:rPr>
                <w:rFonts w:ascii="Georgia" w:hAnsi="Georgia"/>
                <w:sz w:val="18"/>
              </w:rPr>
              <w:t>Release plan</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14</w:t>
            </w:r>
          </w:p>
        </w:tc>
        <w:tc>
          <w:tcPr>
            <w:tcW w:type="dxa" w:w="3429"/>
            <w:tcBorders>
              <w:bottom w:val="single" w:sz="6" w:space="4" w:color="D8DCE3"/>
            </w:tcBorders>
          </w:tcPr>
          <w:p>
            <w:pPr>
              <w:spacing w:after="60"/>
            </w:pPr>
            <w:r/>
            <w:r>
              <w:rPr>
                <w:rFonts w:ascii="Georgia" w:hAnsi="Georgia"/>
                <w:sz w:val="18"/>
              </w:rPr>
              <w:t>Glossary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65/100</w:t>
            </w:r>
          </w:p>
        </w:tc>
        <w:tc>
          <w:tcPr>
            <w:tcW w:type="dxa" w:w="1413"/>
            <w:tcBorders>
              <w:bottom w:val="single" w:sz="6" w:space="4" w:color="D8DCE3"/>
            </w:tcBorders>
          </w:tcPr>
          <w:p>
            <w:pPr>
              <w:spacing w:after="60"/>
            </w:pPr>
            <w:r/>
            <w:r>
              <w:rPr>
                <w:rFonts w:ascii="Georgia" w:hAnsi="Georgia"/>
                <w:sz w:val="18"/>
              </w:rPr>
              <w:t>2</w:t>
            </w:r>
          </w:p>
        </w:tc>
      </w:tr>
      <w:tr>
        <w:tc>
          <w:tcPr>
            <w:tcW w:type="dxa" w:w="1023"/>
            <w:tcBorders>
              <w:bottom w:val="single" w:sz="6" w:space="4" w:color="D8DCE3"/>
            </w:tcBorders>
          </w:tcPr>
          <w:p>
            <w:pPr>
              <w:spacing w:after="60"/>
            </w:pPr>
            <w:r/>
            <w:r>
              <w:rPr>
                <w:rFonts w:ascii="Georgia" w:hAnsi="Georgia"/>
                <w:sz w:val="18"/>
              </w:rPr>
              <w:t>15</w:t>
            </w:r>
          </w:p>
        </w:tc>
        <w:tc>
          <w:tcPr>
            <w:tcW w:type="dxa" w:w="3429"/>
            <w:tcBorders>
              <w:bottom w:val="single" w:sz="6" w:space="4" w:color="D8DCE3"/>
            </w:tcBorders>
          </w:tcPr>
          <w:p>
            <w:pPr>
              <w:spacing w:after="60"/>
            </w:pPr>
            <w:r/>
            <w:r>
              <w:rPr>
                <w:rFonts w:ascii="Georgia" w:hAnsi="Georgia"/>
                <w:sz w:val="18"/>
              </w:rPr>
              <w:t>Change log and approvals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1</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77/100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9C2B2B"/>
          <w:sz w:val="15"/>
        </w:rPr>
        <w:t>draft · 81/100 · 2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 and every id, priority and link the team builds from is the one they read.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can judge every item in the section from it alone.</w:t>
            </w:r>
          </w:p>
          <w:p>
            <w:pPr>
              <w:spacing w:after="40"/>
              <w:ind w:left="173"/>
            </w:pPr>
            <w:r>
              <w:rPr>
                <w:rFonts w:ascii="Georgia" w:hAnsi="Georgia"/>
                <w:sz w:val="19"/>
              </w:rPr>
              <w:t>• Given an item whose id, priority or link differs between what the team builds from and what the expert reads in the prose, when the section is read, then the expert is told of the difference rather than it being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100/100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decision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65/100 · 2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verdict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Open question, risk</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its buildability report.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9C2B2B"/>
          <w:sz w:val="15"/>
        </w:rPr>
        <w:t>draft · 79/100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plugin.</w:t>
      </w:r>
    </w:p>
    <w:p>
      <w:pPr>
        <w:pStyle w:val="ListBullet"/>
        <w:spacing w:after="60"/>
      </w:pPr>
      <w:r>
        <w:t>A change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C-004 leaves section 9, which now holds no constraints. Its rule lives in TR-005 and FR-006, and its id is not reused. The constraints section may now be empty. After the 0.9.0 regrade, FR-008 states the expert's need with no second form of a section, FR-012 reports a requirement's wait on an open question, and the glossary defines interview, handover, and dependency and names no storage or drawing format.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