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PRD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PRD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381500"/>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PRD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PRD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381500"/>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18612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This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Organisations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PRD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Q-005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The sponsor makes this decision under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70/100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 FR-020 drawn in WF-001; Decider for trust rules; TR-014 to accept or refute a score; PRD or set in place of specification</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WF-001 draws FR-020's list of differences, section 10 calls each rule's decider the Decider, and the versioning policy applies from 0.9.0 onward. On the expert's decision, TR-003 now only produces a section's score, and the new TR-014 asks the expert to accept or refute it, with a refutation recorded. FR-009 asks for that decision after each grade. The policy defines a change to the golden thread as structural, and "PRD" or "set" replaces "specification" wherever it meant this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