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bookmarkStart w:id="1" w:name="prd_forge"/>
      <w:r>
        <w:rPr>
          <w:rFonts w:ascii="Calibri" w:hAnsi="Calibri"/>
          <w:b/>
          <w:sz w:val="68"/>
        </w:rPr>
        <w:t>prd-forge</w:t>
      </w:r>
      <w:bookmarkEnd w:id="1"/>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0.12.0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2026-10-29</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Approvers</w:t>
      </w:r>
    </w:p>
    <w:p>
      <w:pPr>
        <w:pStyle w:val="ListBullet"/>
        <w:spacing w:after="60"/>
      </w:pPr>
      <w:r>
        <w:t>Richard Hightower, Sponsor</w:t>
      </w:r>
    </w:p>
    <w:p>
      <w:pPr>
        <w:pStyle w:val="Heading2"/>
      </w:pPr>
      <w:r>
        <w:t>In scope</w:t>
      </w:r>
    </w:p>
    <w:p>
      <w:pPr>
        <w:pStyle w:val="ListBullet"/>
        <w:spacing w:after="60"/>
      </w:pPr>
      <w:r>
        <w:t>IN-001: State the idea and the domain's vocabulary once, and see every section of the set and its state</w:t>
      </w:r>
    </w:p>
    <w:p>
      <w:pPr>
        <w:pStyle w:val="ListBullet"/>
        <w:spacing w:after="60"/>
      </w:pPr>
      <w:r>
        <w:t>IN-002: Be taught each section before its interview, be asked one or two questions at a time with follow-ups, end a section early with its gaps recorded, and stop being asked once the section would meet the gate</w:t>
      </w:r>
    </w:p>
    <w:p>
      <w:pPr>
        <w:pStyle w:val="ListBullet"/>
        <w:spacing w:after="60"/>
      </w:pPr>
      <w:r>
        <w:t>IN-003: Record no invented domain fact, and convert a stated technology into the need beneath it, kept for the engineering lead</w:t>
      </w:r>
    </w:p>
    <w:p>
      <w:pPr>
        <w:pStyle w:val="ListBullet"/>
        <w:spacing w:after="60"/>
      </w:pPr>
      <w:r>
        <w:t>IN-004: Read the draft as prose with its grade and every blocking defect, refute a finding, move to any section, refresh to see a change, and be told when the set states one item two ways</w:t>
      </w:r>
    </w:p>
    <w:p>
      <w:pPr>
        <w:pStyle w:val="ListBullet"/>
        <w:spacing w:after="60"/>
      </w:pPr>
      <w:r>
        <w:t>IN-005: Answer one question about the weakest part, see the section re-graded against the same rubric, and resume after a break without repeating an answer</w:t>
      </w:r>
    </w:p>
    <w:p>
      <w:pPr>
        <w:pStyle w:val="ListBullet"/>
        <w:spacing w:after="60"/>
      </w:pPr>
      <w:r>
        <w:t>IN-006: Get a buildability review of the whole set, read as an engineer would, and see which release-line stages no requirement covers and which requirements cannot be tested</w:t>
      </w:r>
    </w:p>
    <w:p>
      <w:pPr>
        <w:pStyle w:val="ListBullet"/>
        <w:spacing w:after="60"/>
      </w:pPr>
      <w:r>
        <w:t>IN-007: Let the expert name each approver, give the sponsor one document with the summary, the scope, the grades, and the open questions, bring the sponsor's comments on an exported copy back into the set with a response to each, and let the expert record the sponsor's decision, given outside the product, with any conditions, against a named version</w:t>
      </w:r>
    </w:p>
    <w:p>
      <w:pPr>
        <w:pStyle w:val="Heading2"/>
      </w:pPr>
      <w:r>
        <w:t>Out of scope</w:t>
      </w:r>
    </w:p>
    <w:p>
      <w:pPr>
        <w:pStyle w:val="ListBullet"/>
        <w:spacing w:after="60"/>
      </w:pPr>
      <w:r>
        <w:t>OUT-001: Deriving features, epics and stories from the approved PRD - journey J-002</w:t>
      </w:r>
    </w:p>
    <w:p>
      <w:pPr>
        <w:pStyle w:val="ListBullet"/>
        <w:spacing w:after="60"/>
      </w:pPr>
      <w:r>
        <w:t>OUT-002: More than one expert working on the same set at the same time</w:t>
      </w:r>
    </w:p>
    <w:p>
      <w:pPr>
        <w:pStyle w:val="ListBullet"/>
        <w:spacing w:after="60"/>
      </w:pPr>
      <w:r>
        <w:t>OUT-004: An engineering lead reading the set and recording their own confirmation that it can be built from</w:t>
      </w:r>
    </w:p>
    <w:p>
      <w:pPr>
        <w:pStyle w:val="ListBullet"/>
        <w:spacing w:after="60"/>
      </w:pPr>
      <w:r>
        <w:t>OUT-003: Any view of the document set other than reading the documents themselves and stepping through them beside the conversation</w:t>
      </w:r>
    </w:p>
    <w:p>
      <w:pPr>
        <w:pStyle w:val="ListBullet"/>
        <w:spacing w:after="60"/>
      </w:pPr>
      <w:r>
        <w:t>OUT-005: A reviewer commenting on a section inside the set, not on an exported copy</w:t>
      </w:r>
    </w:p>
    <w:p>
      <w:pPr>
        <w:pStyle w:val="Heading2"/>
      </w:pPr>
      <w:r>
        <w:t>Undecided</w:t>
      </w:r>
    </w:p>
    <w:p>
      <w:pPr>
        <w:pStyle w:val="ListBullet"/>
        <w:spacing w:after="60"/>
      </w:pPr>
      <w:r>
        <w:t>Q-001: What share of specifications reaching a development team today pass a buildability review on first submission? Decider: Richard Hightower. By: 2027-02-28.</w:t>
      </w:r>
    </w:p>
    <w:p>
      <w:pPr>
        <w:pStyle w:val="ListBullet"/>
        <w:spacing w:after="60"/>
      </w:pPr>
      <w:r>
        <w:t>Q-002: How many working days does it take today from the first question put to the domain expert about a product to an approved specification? Decider: Richard Hightower. By: 2027-02-28.</w:t>
      </w:r>
    </w:p>
    <w:p>
      <w:pPr>
        <w:pStyle w:val="ListBullet"/>
        <w:spacing w:after="60"/>
      </w:pPr>
      <w:r>
        <w:t xml:space="preserve">Q-003: What share of </w:t>
      </w:r>
      <w:r>
        <w:rPr>
          <w:rFonts w:ascii="Consolas" w:hAnsi="Consolas"/>
          <w:sz w:val="19"/>
        </w:rPr>
        <w:t>must</w:t>
      </w:r>
      <w:r>
        <w:t xml:space="preserve"> functional requirements in today's specifications can an engineer who was not in the interview write a test from? Decider: Richard Hightower. By: 2027-02-28.</w:t>
      </w:r>
    </w:p>
    <w:p>
      <w:pPr>
        <w:pStyle w:val="ListBullet"/>
        <w:spacing w:after="60"/>
      </w:pPr>
      <w:r>
        <w:t>Q-004: How many organizations are in each segment in section 2? Decider: Richard Hightower. By: 2027-06-30.</w:t>
      </w:r>
    </w:p>
    <w:p>
      <w:pPr>
        <w:pStyle w:val="ListBullet"/>
        <w:spacing w:after="60"/>
      </w:pPr>
      <w:r>
        <w:t xml:space="preserve">Q-005: Given what three sponsors say about a set shown with and without grades, does FR-013 stay </w:t>
      </w:r>
      <w:r>
        <w:rPr>
          <w:rFonts w:ascii="Consolas" w:hAnsi="Consolas"/>
          <w:sz w:val="19"/>
        </w:rPr>
        <w:t>must</w:t>
      </w:r>
      <w:r>
        <w:t>, with each section's grade shown to the sponsor? Decider: Richard Hightower. By: 2027-01-31.</w:t>
      </w:r>
    </w:p>
    <w:p>
      <w:pPr>
        <w:pStyle w:val="ListBullet"/>
        <w:spacing w:after="60"/>
      </w:pPr>
      <w:r>
        <w:t>Q-006: How many sections does an expert complete in one sitting before stopping? Decider: Richard Hightower. By: 2027-02-28.</w:t>
      </w:r>
    </w:p>
    <w:p>
      <w:pPr>
        <w:pStyle w:val="ListBullet"/>
        <w:spacing w:after="60"/>
      </w:pPr>
      <w:r>
        <w:t>Q-007: Does writing the requirements send an expert back to the journeys? Decider: Richard Hightower. By: 2027-02-28.</w:t>
      </w:r>
    </w:p>
    <w:p>
      <w:pPr>
        <w:pStyle w:val="ListBullet"/>
        <w:spacing w:after="60"/>
      </w:pPr>
      <w:r>
        <w:t>Q-008: Does an engineering lead read a PRD that names no technology as disciplined or as incomplete? Decider: Richard Hightower. By: 2027-02-28.</w:t>
      </w:r>
    </w:p>
    <w:p>
      <w:pPr>
        <w:pStyle w:val="ListBullet"/>
        <w:spacing w:after="60"/>
      </w:pPr>
      <w:r>
        <w:t>Q-009: Which version of the rubric and the eleven derivability checks does release 1 grade against? Decider: Richard Hightower. By: 2027-01-31.</w:t>
      </w:r>
    </w:p>
    <w:p>
      <w:pPr>
        <w:pStyle w:val="ListBullet"/>
        <w:spacing w:after="60"/>
      </w:pPr>
      <w:r>
        <w:t>Q-010: Must an answer the expert gave survive the end of the session before its section is drafted, given A-005, that domain content stays in the expert's own session and in the documents? Decider: Richard Hightower. By: 2027-01-31.</w:t>
      </w:r>
    </w:p>
    <w:p>
      <w:pPr>
        <w:pStyle w:val="ListBullet"/>
        <w:spacing w:after="60"/>
      </w:pPr>
      <w:r>
        <w:t>Q-012: Which segment in section 2 converts first? Decider: Richard Hightower. By: 2027-06-30.</w:t>
      </w:r>
    </w:p>
    <w:p>
      <w:pPr>
        <w:pStyle w:val="ListBullet"/>
        <w:spacing w:after="60"/>
      </w:pPr>
      <w:r>
        <w:t>Q-013: What day rate does a buyer pay to contract a product manager for the writing of one set? Decider: Richard Hightower. By: 2027-06-30.</w:t>
      </w:r>
    </w:p>
    <w:p>
      <w:pPr>
        <w:pStyle w:val="ListBullet"/>
        <w:spacing w:after="60"/>
      </w:pPr>
      <w:r>
        <w:t>Q-014: Given how experts describe a loop-back in D-002's sittings, does ST-004 keep its step that sends the expert back to an earlier section? Decider: Richard Hightower. By: 2027-02-28.</w:t>
      </w:r>
    </w:p>
    <w:p>
      <w:pPr>
        <w:pStyle w:val="ListBullet"/>
        <w:spacing w:after="60"/>
      </w:pPr>
      <w:r>
        <w:t>Q-015: Who owns the rubric and the eleven derivability checks? Decider: Richard Hightower. By: 2027-01-15.</w:t>
      </w:r>
    </w:p>
    <w:p>
      <w:pPr>
        <w:pStyle w:val="ListBullet"/>
        <w:spacing w:after="60"/>
      </w:pPr>
      <w:r>
        <w:t>Q-016: Must a grade show which version of the rubric it was made against? Decider: Richard Hightower. By: 2027-01-31.</w:t>
      </w:r>
    </w:p>
    <w:p>
      <w:pPr>
        <w:pStyle w:val="ListBullet"/>
        <w:spacing w:after="60"/>
      </w:pPr>
      <w:r>
        <w:t>Q-017: Whom does the decider record as owner of NFR-006's accessibility, given that the product's output is read in places the non-goals in section 6 say we do not own? Decider: Richard Hightower. By: 2027-02-28.</w:t>
      </w:r>
    </w:p>
    <w:p>
      <w:pPr>
        <w:pStyle w:val="ListBullet"/>
        <w:spacing w:after="60"/>
      </w:pPr>
      <w:r>
        <w:t>Q-018: What does each problem in section 1 cost, as one counted case per problem? Decider: Richard Hightower. By: 2027-01-31.</w:t>
      </w:r>
    </w:p>
    <w:p>
      <w:pPr>
        <w:pStyle w:val="ListBullet"/>
        <w:spacing w:after="60"/>
      </w:pPr>
      <w:r>
        <w:t>Q-019: Will both parties behind D-002 and D-003 commit in writing to report by 2027-01-31, so that REL-001 keeps 2027-03-31? Decider: Richard Hightower. By: 2027-01-31.</w:t>
      </w:r>
    </w:p>
    <w:p>
      <w:pPr>
        <w:pStyle w:val="ListBullet"/>
        <w:spacing w:after="60"/>
      </w:pPr>
      <w:r>
        <w:t>Q-020: Which section do experts stop at most often? Decider: Richard Hightower. By: 2027-02-28.</w:t>
      </w:r>
    </w:p>
    <w:p>
      <w:pPr>
        <w:pStyle w:val="ListBullet"/>
        <w:spacing w:after="60"/>
      </w:pPr>
      <w:r>
        <w:t>Q-021: Whom does the decider record as owner of NFR-012's access control, given that a set is stored where the organization already stores documents? Decider: Richard Hightower. By: 2027-02-28.</w:t>
      </w:r>
    </w:p>
    <w:p>
      <w:pPr>
        <w:pStyle w:val="ListBullet"/>
        <w:spacing w:after="60"/>
      </w:pPr>
      <w:r>
        <w:t>Q-022: If D-002 or D-003 reports after 2027-01-31, does REL-001 move or ship as an experiment? Decider: Richard Hightower. By: 2027-01-31.</w:t>
      </w:r>
    </w:p>
    <w:p>
      <w:pPr>
        <w:pStyle w:val="ListBullet"/>
        <w:spacing w:after="60"/>
      </w:pPr>
      <w:r>
        <w:t>Q-023: Do delivery leads run a story-mapping workshop about once per release and want a backbone agreed before it, as PER-004 assumes? Decider: Richard Hightower. By: 2027-05-31.</w:t>
      </w:r>
    </w:p>
    <w:p>
      <w:pPr>
        <w:pStyle w:val="Heading2"/>
      </w:pPr>
      <w:r>
        <w:t>Blocking defects</w:t>
      </w:r>
    </w:p>
    <w:p>
      <w:r>
        <w:rPr>
          <w:rFonts w:ascii="Georgia" w:hAnsi="Georgia"/>
        </w:rPr>
        <w:t>None.</w:t>
      </w: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bookmarkStart w:id="2" w:name="prd_forge_problem_opportunity"/>
      <w:r>
        <w:t>Problem and opportunity</w:t>
      </w:r>
      <w:bookmarkEnd w:id="2"/>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bookmarkStart w:id="3" w:name="P_001"/>
      <w:r>
        <w:rPr>
          <w:rFonts w:ascii="Calibri" w:hAnsi="Calibri"/>
          <w:b/>
          <w:color w:val="1F4E79"/>
          <w:sz w:val="20"/>
        </w:rPr>
        <w:t>P-001</w:t>
      </w:r>
      <w:bookmarkEnd w:id="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bookmarkStart w:id="4" w:name="P_002"/>
      <w:r>
        <w:rPr>
          <w:rFonts w:ascii="Calibri" w:hAnsi="Calibri"/>
          <w:b/>
          <w:color w:val="1F4E79"/>
          <w:sz w:val="20"/>
        </w:rPr>
        <w:t>P-002</w:t>
      </w:r>
      <w:bookmarkEnd w:id="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bookmarkStart w:id="5" w:name="P_003"/>
      <w:r>
        <w:rPr>
          <w:rFonts w:ascii="Calibri" w:hAnsi="Calibri"/>
          <w:b/>
          <w:color w:val="1F4E79"/>
          <w:sz w:val="20"/>
        </w:rPr>
        <w:t>P-003</w:t>
      </w:r>
      <w:bookmarkEnd w:id="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bookmarkStart w:id="6" w:name="P_004"/>
      <w:r>
        <w:rPr>
          <w:rFonts w:ascii="Calibri" w:hAnsi="Calibri"/>
          <w:b/>
          <w:color w:val="1F4E79"/>
          <w:sz w:val="20"/>
        </w:rPr>
        <w:t>P-004</w:t>
      </w:r>
      <w:bookmarkEnd w:id="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bookmarkStart w:id="7" w:name="prd_forge_customer_market"/>
      <w:r>
        <w:t>Target customer and market</w:t>
      </w:r>
      <w:bookmarkEnd w:id="7"/>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bookmarkStart w:id="8" w:name="S_001"/>
      <w:r>
        <w:rPr>
          <w:rFonts w:ascii="Calibri" w:hAnsi="Calibri"/>
          <w:b/>
          <w:color w:val="1F4E79"/>
          <w:sz w:val="20"/>
        </w:rPr>
        <w:t xml:space="preserve">S-001  </w:t>
      </w:r>
      <w:r>
        <w:rPr>
          <w:rFonts w:ascii="Calibri" w:hAnsi="Calibri"/>
          <w:b/>
          <w:sz w:val="20"/>
        </w:rPr>
        <w:t>Consultancies and advisory firms turning client domain knowledge into PRDs</w:t>
      </w:r>
      <w:bookmarkEnd w:id="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bookmarkStart w:id="9" w:name="S_002"/>
      <w:r>
        <w:rPr>
          <w:rFonts w:ascii="Calibri" w:hAnsi="Calibri"/>
          <w:b/>
          <w:color w:val="1F4E79"/>
          <w:sz w:val="20"/>
        </w:rPr>
        <w:t xml:space="preserve">S-002  </w:t>
      </w:r>
      <w:r>
        <w:rPr>
          <w:rFonts w:ascii="Calibri" w:hAnsi="Calibri"/>
          <w:b/>
          <w:sz w:val="20"/>
        </w:rPr>
        <w:t>Regulated-industry organizations where practitioners specify their own internal software</w:t>
      </w:r>
      <w:bookmarkEnd w:id="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bookmarkStart w:id="10" w:name="prd_forge_objectives_metrics"/>
      <w:r>
        <w:t>Business objectives and success metrics</w:t>
      </w:r>
      <w:bookmarkEnd w:id="10"/>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bookmarkStart w:id="11" w:name="O_001"/>
      <w:r>
        <w:rPr>
          <w:rFonts w:ascii="Calibri" w:hAnsi="Calibri"/>
          <w:b/>
          <w:color w:val="1F4E79"/>
          <w:sz w:val="20"/>
        </w:rPr>
        <w:t>O-001</w:t>
      </w:r>
      <w:bookmarkEnd w:id="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2" w:name="O_002"/>
      <w:r>
        <w:rPr>
          <w:rFonts w:ascii="Calibri" w:hAnsi="Calibri"/>
          <w:b/>
          <w:color w:val="1F4E79"/>
          <w:sz w:val="20"/>
        </w:rPr>
        <w:t xml:space="preserve">O-002  </w:t>
      </w:r>
      <w:r>
        <w:rPr>
          <w:rFonts w:ascii="Calibri" w:hAnsi="Calibri"/>
          <w:b/>
          <w:sz w:val="20"/>
        </w:rPr>
        <w:t>A domain expert, or a product manager who speaks for one, reaches an approved PRD in days.</w:t>
      </w:r>
      <w:bookmarkEnd w:id="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3" w:name="O_003"/>
      <w:r>
        <w:rPr>
          <w:rFonts w:ascii="Calibri" w:hAnsi="Calibri"/>
          <w:b/>
          <w:color w:val="1F4E79"/>
          <w:sz w:val="20"/>
        </w:rPr>
        <w:t>O-003</w:t>
      </w:r>
      <w:bookmarkEnd w:id="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bookmarkStart w:id="14" w:name="prd_forge_personas"/>
      <w:r>
        <w:t>Users and personas</w:t>
      </w:r>
      <w:bookmarkEnd w:id="14"/>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whether the domain check may research outside the session,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bookmarkStart w:id="15" w:name="PER_001"/>
      <w:r>
        <w:rPr>
          <w:rFonts w:ascii="Calibri" w:hAnsi="Calibri"/>
          <w:b/>
          <w:color w:val="1F4E79"/>
          <w:sz w:val="20"/>
        </w:rPr>
        <w:t>PER-001</w:t>
      </w:r>
      <w:bookmarkEnd w:id="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decides whether the domain check may research the set's domain outside the session;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bookmarkStart w:id="16" w:name="PER_002"/>
      <w:r>
        <w:rPr>
          <w:rFonts w:ascii="Calibri" w:hAnsi="Calibri"/>
          <w:b/>
          <w:color w:val="1F4E79"/>
          <w:sz w:val="20"/>
        </w:rPr>
        <w:t>PER-002</w:t>
      </w:r>
      <w:bookmarkEnd w:id="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bookmarkStart w:id="17" w:name="PER_003"/>
      <w:r>
        <w:rPr>
          <w:rFonts w:ascii="Calibri" w:hAnsi="Calibri"/>
          <w:b/>
          <w:color w:val="1F4E79"/>
          <w:sz w:val="20"/>
        </w:rPr>
        <w:t xml:space="preserve">PER-003  </w:t>
      </w:r>
      <w:r>
        <w:rPr>
          <w:rFonts w:ascii="Calibri" w:hAnsi="Calibri"/>
          <w:b/>
          <w:sz w:val="20"/>
        </w:rPr>
        <w:t>Sponsor: the budget holder (director or partner), who is also the approver</w:t>
      </w:r>
      <w:bookmarkEnd w:id="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bookmarkStart w:id="18" w:name="PER_004"/>
      <w:r>
        <w:rPr>
          <w:rFonts w:ascii="Calibri" w:hAnsi="Calibri"/>
          <w:b/>
          <w:color w:val="1F4E79"/>
          <w:sz w:val="20"/>
        </w:rPr>
        <w:t>PER-004</w:t>
      </w:r>
      <w:bookmarkEnd w:id="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19" w:name="prd_forge_journeys"/>
      <w:r>
        <w:t>User journeys</w:t>
      </w:r>
      <w:bookmarkEnd w:id="19"/>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4204631"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4204631" cy="7315200"/>
                    </a:xfrm>
                    <a:prstGeom prst="rect"/>
                  </pic:spPr>
                </pic:pic>
              </a:graphicData>
            </a:graphic>
          </wp:inline>
        </w:drawing>
      </w:r>
    </w:p>
    <w:p>
      <w:pPr>
        <w:spacing w:after="200"/>
        <w:jc w:val="center"/>
      </w:pPr>
      <w:r>
        <w:rPr>
          <w:rFonts w:ascii="Georgia" w:hAnsi="Georgia"/>
          <w:color w:val="5C6370"/>
          <w:sz w:val="16"/>
        </w:rPr>
        <w:t>J-001 overview with its main alternate and exception paths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bookmarkStart w:id="20" w:name="J_001"/>
      <w:r>
        <w:rPr>
          <w:rFonts w:ascii="Calibri" w:hAnsi="Calibri"/>
          <w:b/>
          <w:color w:val="1F4E79"/>
          <w:sz w:val="20"/>
        </w:rPr>
        <w:t>J-001</w:t>
      </w:r>
      <w:bookmarkEnd w:id="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bookmarkStart w:id="21" w:name="J_002"/>
      <w:r>
        <w:rPr>
          <w:rFonts w:ascii="Calibri" w:hAnsi="Calibri"/>
          <w:b/>
          <w:color w:val="1F4E79"/>
          <w:sz w:val="20"/>
        </w:rPr>
        <w:t xml:space="preserve">J-002  </w:t>
      </w:r>
      <w:r>
        <w:rPr>
          <w:rFonts w:ascii="Calibri" w:hAnsi="Calibri"/>
          <w:b/>
          <w:sz w:val="20"/>
        </w:rPr>
        <w:t>A backlog whose every story traces to a requirement the expert actually stated.</w:t>
      </w:r>
      <w:bookmarkEnd w:id="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development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22" w:name="prd_forge_scenarios"/>
      <w:r>
        <w:t>Scenarios</w:t>
      </w:r>
      <w:bookmarkEnd w:id="22"/>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bookmarkStart w:id="23" w:name="SC_001"/>
      <w:r>
        <w:rPr>
          <w:rFonts w:ascii="Calibri" w:hAnsi="Calibri"/>
          <w:b/>
          <w:color w:val="1F4E79"/>
          <w:sz w:val="20"/>
        </w:rPr>
        <w:t>SC-001</w:t>
      </w:r>
      <w:bookmarkEnd w:id="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bookmarkStart w:id="24" w:name="SC_002"/>
      <w:r>
        <w:rPr>
          <w:rFonts w:ascii="Calibri" w:hAnsi="Calibri"/>
          <w:b/>
          <w:color w:val="1F4E79"/>
          <w:sz w:val="20"/>
        </w:rPr>
        <w:t>SC-002</w:t>
      </w:r>
      <w:bookmarkEnd w:id="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bookmarkStart w:id="25" w:name="SC_003"/>
      <w:r>
        <w:rPr>
          <w:rFonts w:ascii="Calibri" w:hAnsi="Calibri"/>
          <w:b/>
          <w:color w:val="1F4E79"/>
          <w:sz w:val="20"/>
        </w:rPr>
        <w:t>SC-003</w:t>
      </w:r>
      <w:bookmarkEnd w:id="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bookmarkStart w:id="26" w:name="SC_004"/>
      <w:r>
        <w:rPr>
          <w:rFonts w:ascii="Calibri" w:hAnsi="Calibri"/>
          <w:b/>
          <w:color w:val="1F4E79"/>
          <w:sz w:val="20"/>
        </w:rPr>
        <w:t>SC-004</w:t>
      </w:r>
      <w:bookmarkEnd w:id="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bookmarkStart w:id="27" w:name="SC_008"/>
      <w:r>
        <w:rPr>
          <w:rFonts w:ascii="Calibri" w:hAnsi="Calibri"/>
          <w:b/>
          <w:color w:val="1F4E79"/>
          <w:sz w:val="20"/>
        </w:rPr>
        <w:t>SC-008</w:t>
      </w:r>
      <w:bookmarkEnd w:id="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bookmarkStart w:id="28" w:name="SC_005"/>
      <w:r>
        <w:rPr>
          <w:rFonts w:ascii="Calibri" w:hAnsi="Calibri"/>
          <w:b/>
          <w:color w:val="1F4E79"/>
          <w:sz w:val="20"/>
        </w:rPr>
        <w:t>SC-005</w:t>
      </w:r>
      <w:bookmarkEnd w:id="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bookmarkStart w:id="29" w:name="SC_006"/>
      <w:r>
        <w:rPr>
          <w:rFonts w:ascii="Calibri" w:hAnsi="Calibri"/>
          <w:b/>
          <w:color w:val="1F4E79"/>
          <w:sz w:val="20"/>
        </w:rPr>
        <w:t>SC-006</w:t>
      </w:r>
      <w:bookmarkEnd w:id="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bookmarkStart w:id="30" w:name="SC_007"/>
      <w:r>
        <w:rPr>
          <w:rFonts w:ascii="Calibri" w:hAnsi="Calibri"/>
          <w:b/>
          <w:color w:val="1F4E79"/>
          <w:sz w:val="20"/>
        </w:rPr>
        <w:t>SC-007</w:t>
      </w:r>
      <w:bookmarkEnd w:id="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bookmarkStart w:id="31" w:name="LC_001"/>
      <w:r>
        <w:rPr>
          <w:rFonts w:ascii="Calibri" w:hAnsi="Calibri"/>
          <w:b/>
          <w:color w:val="1F4E79"/>
          <w:sz w:val="20"/>
        </w:rPr>
        <w:t xml:space="preserve">LC-001  </w:t>
      </w:r>
      <w:r>
        <w:rPr>
          <w:rFonts w:ascii="Calibri" w:hAnsi="Calibri"/>
          <w:b/>
          <w:sz w:val="20"/>
        </w:rPr>
        <w:t>a section of the PRD</w:t>
      </w:r>
      <w:bookmarkEnd w:id="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bookmarkStart w:id="32" w:name="prd_forge_scope"/>
      <w:r>
        <w:t>Scope</w:t>
      </w:r>
      <w:bookmarkEnd w:id="32"/>
    </w:p>
    <w:p>
      <w:pPr>
        <w:spacing w:after="240"/>
      </w:pPr>
      <w:r>
        <w:rPr>
          <w:rFonts w:ascii="Calibri" w:hAnsi="Calibri"/>
          <w:b/>
          <w:caps/>
          <w:color w:val="5C6370"/>
          <w:sz w:val="15"/>
        </w:rPr>
        <w:t>draft · 88/100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Comments the sponsor leaves in an exported copy come back under FR-023. The expert records the decision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bring back the sponsor's comments on it,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 FR-022, FR-023</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reached an approved set that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r>
        <w:tc>
          <w:tcPr>
            <w:tcW w:type="dxa" w:w="1233"/>
            <w:tcBorders>
              <w:bottom w:val="single" w:sz="6" w:space="4" w:color="D8DCE3"/>
            </w:tcBorders>
          </w:tcPr>
          <w:p>
            <w:pPr>
              <w:spacing w:after="60"/>
            </w:pPr>
            <w:r/>
            <w:r>
              <w:rPr>
                <w:rFonts w:ascii="Georgia" w:hAnsi="Georgia"/>
                <w:sz w:val="18"/>
              </w:rPr>
              <w:t>OUT-005</w:t>
            </w:r>
          </w:p>
        </w:tc>
        <w:tc>
          <w:tcPr>
            <w:tcW w:type="dxa" w:w="3805"/>
            <w:tcBorders>
              <w:bottom w:val="single" w:sz="6" w:space="4" w:color="D8DCE3"/>
            </w:tcBorders>
          </w:tcPr>
          <w:p>
            <w:pPr>
              <w:spacing w:after="60"/>
            </w:pPr>
            <w:r/>
            <w:r>
              <w:rPr>
                <w:rFonts w:ascii="Georgia" w:hAnsi="Georgia"/>
                <w:sz w:val="18"/>
              </w:rPr>
              <w:t>A reviewer's comments inside the set, not on an exported copy</w:t>
            </w:r>
          </w:p>
        </w:tc>
        <w:tc>
          <w:tcPr>
            <w:tcW w:type="dxa" w:w="3805"/>
            <w:tcBorders>
              <w:bottom w:val="single" w:sz="6" w:space="4" w:color="D8DCE3"/>
            </w:tcBorders>
          </w:tcPr>
          <w:p>
            <w:pPr>
              <w:spacing w:after="60"/>
            </w:pPr>
            <w:r/>
            <w:r>
              <w:rPr>
                <w:rFonts w:ascii="Georgia" w:hAnsi="Georgia"/>
                <w:sz w:val="18"/>
              </w:rPr>
              <w:t>REL-003, when OUT-002's condition holds; until then, comments come back from an exported copy under FR-022 and FR-023</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bookmarkStart w:id="33" w:name="IN_001"/>
      <w:r>
        <w:rPr>
          <w:rFonts w:ascii="Calibri" w:hAnsi="Calibri"/>
          <w:b/>
          <w:color w:val="1F4E79"/>
          <w:sz w:val="20"/>
        </w:rPr>
        <w:t>IN-001</w:t>
      </w:r>
      <w:bookmarkEnd w:id="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bookmarkStart w:id="34" w:name="IN_002"/>
      <w:r>
        <w:rPr>
          <w:rFonts w:ascii="Calibri" w:hAnsi="Calibri"/>
          <w:b/>
          <w:color w:val="1F4E79"/>
          <w:sz w:val="20"/>
        </w:rPr>
        <w:t>IN-002</w:t>
      </w:r>
      <w:bookmarkEnd w:id="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bookmarkStart w:id="35" w:name="IN_003"/>
      <w:r>
        <w:rPr>
          <w:rFonts w:ascii="Calibri" w:hAnsi="Calibri"/>
          <w:b/>
          <w:color w:val="1F4E79"/>
          <w:sz w:val="20"/>
        </w:rPr>
        <w:t>IN-003</w:t>
      </w:r>
      <w:bookmarkEnd w:id="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bookmarkStart w:id="36" w:name="IN_004"/>
      <w:r>
        <w:rPr>
          <w:rFonts w:ascii="Calibri" w:hAnsi="Calibri"/>
          <w:b/>
          <w:color w:val="1F4E79"/>
          <w:sz w:val="20"/>
        </w:rPr>
        <w:t>IN-004</w:t>
      </w:r>
      <w:bookmarkEnd w:id="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bookmarkStart w:id="37" w:name="IN_005"/>
      <w:r>
        <w:rPr>
          <w:rFonts w:ascii="Calibri" w:hAnsi="Calibri"/>
          <w:b/>
          <w:color w:val="1F4E79"/>
          <w:sz w:val="20"/>
        </w:rPr>
        <w:t>IN-005</w:t>
      </w:r>
      <w:bookmarkEnd w:id="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bookmarkStart w:id="38" w:name="IN_006"/>
      <w:r>
        <w:rPr>
          <w:rFonts w:ascii="Calibri" w:hAnsi="Calibri"/>
          <w:b/>
          <w:color w:val="1F4E79"/>
          <w:sz w:val="20"/>
        </w:rPr>
        <w:t>IN-006</w:t>
      </w:r>
      <w:bookmarkEnd w:id="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bookmarkStart w:id="39" w:name="IN_007"/>
      <w:r>
        <w:rPr>
          <w:rFonts w:ascii="Calibri" w:hAnsi="Calibri"/>
          <w:b/>
          <w:color w:val="1F4E79"/>
          <w:sz w:val="20"/>
        </w:rPr>
        <w:t>IN-007</w:t>
      </w:r>
      <w:bookmarkEnd w:id="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bring the sponsor's comments on an exported copy back into the set with a response to each,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tc>
      </w:tr>
    </w:tbl>
    <w:p>
      <w:pPr>
        <w:spacing w:after="40"/>
      </w:pPr>
    </w:p>
    <w:p>
      <w:pPr>
        <w:pStyle w:val="Heading3"/>
      </w:pPr>
      <w:r>
        <w:t>Out of scope</w:t>
      </w:r>
    </w:p>
    <w:p>
      <w:pPr>
        <w:keepNext/>
        <w:spacing w:before="220" w:after="60"/>
        <w:ind w:left="115"/>
        <w:pBdr>
          <w:left w:val="single" w:sz="18" w:space="0" w:color="1F4E79"/>
        </w:pBdr>
      </w:pPr>
      <w:bookmarkStart w:id="40" w:name="OUT_001"/>
      <w:r>
        <w:rPr>
          <w:rFonts w:ascii="Calibri" w:hAnsi="Calibri"/>
          <w:b/>
          <w:color w:val="1F4E79"/>
          <w:sz w:val="20"/>
        </w:rPr>
        <w:t xml:space="preserve">OUT-001  </w:t>
      </w:r>
      <w:r>
        <w:rPr>
          <w:rFonts w:ascii="Calibri" w:hAnsi="Calibri"/>
          <w:b/>
          <w:sz w:val="20"/>
        </w:rPr>
        <w:t>Deriving features, epics and stories from the approved PRD - journey J-002</w:t>
      </w:r>
      <w:bookmarkEnd w:id="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bookmarkStart w:id="41" w:name="OUT_002"/>
      <w:r>
        <w:rPr>
          <w:rFonts w:ascii="Calibri" w:hAnsi="Calibri"/>
          <w:b/>
          <w:color w:val="1F4E79"/>
          <w:sz w:val="20"/>
        </w:rPr>
        <w:t xml:space="preserve">OUT-002  </w:t>
      </w:r>
      <w:r>
        <w:rPr>
          <w:rFonts w:ascii="Calibri" w:hAnsi="Calibri"/>
          <w:b/>
          <w:sz w:val="20"/>
        </w:rPr>
        <w:t>More than one expert working on the same set at the same time</w:t>
      </w:r>
      <w:bookmarkEnd w:id="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bookmarkStart w:id="42" w:name="OUT_004"/>
      <w:r>
        <w:rPr>
          <w:rFonts w:ascii="Calibri" w:hAnsi="Calibri"/>
          <w:b/>
          <w:color w:val="1F4E79"/>
          <w:sz w:val="20"/>
        </w:rPr>
        <w:t>OUT-004</w:t>
      </w:r>
      <w:bookmarkEnd w:id="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bookmarkStart w:id="43" w:name="OUT_003"/>
      <w:r>
        <w:rPr>
          <w:rFonts w:ascii="Calibri" w:hAnsi="Calibri"/>
          <w:b/>
          <w:color w:val="1F4E79"/>
          <w:sz w:val="20"/>
        </w:rPr>
        <w:t>OUT-003</w:t>
      </w:r>
      <w:bookmarkEnd w:id="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pPr>
        <w:keepNext/>
        <w:spacing w:before="220" w:after="60"/>
        <w:ind w:left="115"/>
        <w:pBdr>
          <w:left w:val="single" w:sz="18" w:space="0" w:color="1F4E79"/>
        </w:pBdr>
      </w:pPr>
      <w:bookmarkStart w:id="44" w:name="OUT_005"/>
      <w:r>
        <w:rPr>
          <w:rFonts w:ascii="Calibri" w:hAnsi="Calibri"/>
          <w:b/>
          <w:color w:val="1F4E79"/>
          <w:sz w:val="20"/>
        </w:rPr>
        <w:t xml:space="preserve">OUT-005  </w:t>
      </w:r>
      <w:r>
        <w:rPr>
          <w:rFonts w:ascii="Calibri" w:hAnsi="Calibri"/>
          <w:b/>
          <w:sz w:val="20"/>
        </w:rPr>
        <w:t>A reviewer commenting on a section inside the set, not on an exported copy</w:t>
      </w:r>
      <w:bookmarkEnd w:id="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REL-003, when OUT-002's condition holds: three real engagements have each reached an approved set that passed the buildability review on first submission. Until then, the sponsor comments on an exported copy, and the comments come back under FR-022 and FR-023.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45" w:name="prd_forge_functional_requirements"/>
      <w:r>
        <w:t>Functional requirements</w:t>
      </w:r>
      <w:bookmarkEnd w:id="45"/>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State the idea; establish the vocabulary once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whole set's state at a glance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taught the section before being asked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or two questions at a time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End a section and see what was left behind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Unknown facts become open questions, never inventions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Technology talk converted; preference preserved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Read the draft as prose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score, blocking defects, weakest part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question, not twelve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re-grade against the same standard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what a team could not build from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what is approved and what is open, on one page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Approve, with conditions, against a version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and resume without being asked anything twice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Refute a finding and have it withdrawn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any section without losing their place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set as it now stands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being asked once the section would meet the gate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told when the set states one item two ways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Name each approver before offering the set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Comment on an exported copy, and see each comment's response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FR-023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Bring an exported copy's review comments into the set, and respond to each</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23 are </w:t>
      </w:r>
      <w:r>
        <w:rPr>
          <w:rFonts w:ascii="Consolas" w:hAnsi="Consolas"/>
          <w:sz w:val="19"/>
        </w:rPr>
        <w:t>must</w:t>
      </w:r>
      <w:r>
        <w:rPr>
          <w:rFonts w:ascii="Georgia" w:hAnsi="Georgia"/>
        </w:rPr>
        <w:t xml:space="preserve">: without any one of them, REL-001 does not do what it promises. The twelve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Three </w:t>
      </w:r>
      <w:r>
        <w:rPr>
          <w:rFonts w:ascii="Consolas" w:hAnsi="Consolas"/>
          <w:sz w:val="19"/>
        </w:rPr>
        <w:t>should</w:t>
      </w:r>
      <w:r>
        <w:rPr>
          <w:rFonts w:ascii="Georgia" w:hAnsi="Georgia"/>
        </w:rPr>
        <w:t xml:space="preserve"> requirements also wait: FR-011 and FR-019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r>
        <w:rPr>
          <w:rFonts w:ascii="Georgia" w:hAnsi="Georgia"/>
        </w:rPr>
        <w:t xml:space="preserve">FR-022 was added at version 0.10.0 on the expert's decision, as a </w:t>
      </w:r>
      <w:r>
        <w:rPr>
          <w:rFonts w:ascii="Consolas" w:hAnsi="Consolas"/>
          <w:sz w:val="19"/>
        </w:rPr>
        <w:t>should</w:t>
      </w:r>
      <w:r>
        <w:rPr>
          <w:rFonts w:ascii="Georgia" w:hAnsi="Georgia"/>
        </w:rPr>
        <w:t xml:space="preserve"> in REL-001. A sponsor reads an exported copy outside the product at ST-006 and comments in it. FR-023 brings those comments back, and under FR-022 the next copy carries each response and what it changed. WF-011 shows that copy. A comment still without a response when the sponsor approves does not block the approval: the expert records it as a condition under FR-014, as the expert decided.</w:t>
      </w:r>
    </w:p>
    <w:p>
      <w:r>
        <w:rPr>
          <w:rFonts w:ascii="Georgia" w:hAnsi="Georgia"/>
        </w:rPr>
        <w:t>FR-023 was split out of FR-022 at version 0.11.0, as FR-015 and FR-016 were. FR-022 is what the sponsor sees, and FR-023 is what the expert does to bring the comments in and answer them. Each has a failure mode of its own: a build could import every comment and never show the sponsor a response, or show responses to comments it lost. The approval rule moved into FR-014, which records every condition, and the sponsor sets each condition's date.</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bookmarkStart w:id="46" w:name="FR_001"/>
      <w:r>
        <w:rPr>
          <w:rFonts w:ascii="Calibri" w:hAnsi="Calibri"/>
          <w:b/>
          <w:color w:val="1F4E79"/>
          <w:sz w:val="20"/>
        </w:rPr>
        <w:t xml:space="preserve">FR-001  </w:t>
      </w:r>
      <w:r>
        <w:rPr>
          <w:rFonts w:ascii="Calibri" w:hAnsi="Calibri"/>
          <w:b/>
          <w:sz w:val="20"/>
        </w:rPr>
        <w:t>State the idea in their own words and establish the domain's vocabulary once</w:t>
      </w:r>
      <w:bookmarkEnd w:id="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7" w:name="FR_002"/>
      <w:r>
        <w:rPr>
          <w:rFonts w:ascii="Calibri" w:hAnsi="Calibri"/>
          <w:b/>
          <w:color w:val="1F4E79"/>
          <w:sz w:val="20"/>
        </w:rPr>
        <w:t xml:space="preserve">FR-002  </w:t>
      </w:r>
      <w:r>
        <w:rPr>
          <w:rFonts w:ascii="Calibri" w:hAnsi="Calibri"/>
          <w:b/>
          <w:sz w:val="20"/>
        </w:rPr>
        <w:t>See every section of the set and what state each one is in, at any point</w:t>
      </w:r>
      <w:bookmarkEnd w:id="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48" w:name="FR_003"/>
      <w:r>
        <w:rPr>
          <w:rFonts w:ascii="Calibri" w:hAnsi="Calibri"/>
          <w:b/>
          <w:color w:val="1F4E79"/>
          <w:sz w:val="20"/>
        </w:rPr>
        <w:t>FR-003</w:t>
      </w:r>
      <w:bookmarkEnd w:id="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9" w:name="FR_004"/>
      <w:r>
        <w:rPr>
          <w:rFonts w:ascii="Calibri" w:hAnsi="Calibri"/>
          <w:b/>
          <w:color w:val="1F4E79"/>
          <w:sz w:val="20"/>
        </w:rPr>
        <w:t xml:space="preserve">FR-004  </w:t>
      </w:r>
      <w:r>
        <w:rPr>
          <w:rFonts w:ascii="Calibri" w:hAnsi="Calibri"/>
          <w:b/>
          <w:sz w:val="20"/>
        </w:rPr>
        <w:t>Be asked one or two questions at a time, never a questionnaire</w:t>
      </w:r>
      <w:bookmarkEnd w:id="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0" w:name="FR_005"/>
      <w:r>
        <w:rPr>
          <w:rFonts w:ascii="Calibri" w:hAnsi="Calibri"/>
          <w:b/>
          <w:color w:val="1F4E79"/>
          <w:sz w:val="20"/>
        </w:rPr>
        <w:t xml:space="preserve">FR-005  </w:t>
      </w:r>
      <w:r>
        <w:rPr>
          <w:rFonts w:ascii="Calibri" w:hAnsi="Calibri"/>
          <w:b/>
          <w:sz w:val="20"/>
        </w:rPr>
        <w:t>Say that they have nothing more to add, and have that end the section's interview</w:t>
      </w:r>
      <w:bookmarkEnd w:id="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51" w:name="FR_006"/>
      <w:r>
        <w:rPr>
          <w:rFonts w:ascii="Calibri" w:hAnsi="Calibri"/>
          <w:b/>
          <w:color w:val="1F4E79"/>
          <w:sz w:val="20"/>
        </w:rPr>
        <w:t>FR-006</w:t>
      </w:r>
      <w:bookmarkEnd w:id="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2" w:name="FR_007"/>
      <w:r>
        <w:rPr>
          <w:rFonts w:ascii="Calibri" w:hAnsi="Calibri"/>
          <w:b/>
          <w:color w:val="1F4E79"/>
          <w:sz w:val="20"/>
        </w:rPr>
        <w:t>FR-007</w:t>
      </w:r>
      <w:bookmarkEnd w:id="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3" w:name="FR_008"/>
      <w:r>
        <w:rPr>
          <w:rFonts w:ascii="Calibri" w:hAnsi="Calibri"/>
          <w:b/>
          <w:color w:val="1F4E79"/>
          <w:sz w:val="20"/>
        </w:rPr>
        <w:t xml:space="preserve">FR-008  </w:t>
      </w:r>
      <w:r>
        <w:rPr>
          <w:rFonts w:ascii="Calibri" w:hAnsi="Calibri"/>
          <w:b/>
          <w:sz w:val="20"/>
        </w:rPr>
        <w:t>Read the drafted section as prose rather than as a filled-in form</w:t>
      </w:r>
      <w:bookmarkEnd w:id="5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4" w:name="FR_009"/>
      <w:r>
        <w:rPr>
          <w:rFonts w:ascii="Calibri" w:hAnsi="Calibri"/>
          <w:b/>
          <w:color w:val="1F4E79"/>
          <w:sz w:val="20"/>
        </w:rPr>
        <w:t xml:space="preserve">FR-009  </w:t>
      </w:r>
      <w:r>
        <w:rPr>
          <w:rFonts w:ascii="Calibri" w:hAnsi="Calibri"/>
          <w:b/>
          <w:sz w:val="20"/>
        </w:rPr>
        <w:t>See a score, every blocking defect by name, and which part of the section is weakest</w:t>
      </w:r>
      <w:bookmarkEnd w:id="5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5" w:name="FR_010"/>
      <w:r>
        <w:rPr>
          <w:rFonts w:ascii="Calibri" w:hAnsi="Calibri"/>
          <w:b/>
          <w:color w:val="1F4E79"/>
          <w:sz w:val="20"/>
        </w:rPr>
        <w:t>FR-010</w:t>
      </w:r>
      <w:bookmarkEnd w:id="5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6" w:name="FR_011"/>
      <w:r>
        <w:rPr>
          <w:rFonts w:ascii="Calibri" w:hAnsi="Calibri"/>
          <w:b/>
          <w:color w:val="1F4E79"/>
          <w:sz w:val="20"/>
        </w:rPr>
        <w:t xml:space="preserve">FR-011  </w:t>
      </w:r>
      <w:r>
        <w:rPr>
          <w:rFonts w:ascii="Calibri" w:hAnsi="Calibri"/>
          <w:b/>
          <w:sz w:val="20"/>
        </w:rPr>
        <w:t>See the section re-graded against the same standard after answering</w:t>
      </w:r>
      <w:bookmarkEnd w:id="5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7" w:name="FR_012"/>
      <w:r>
        <w:rPr>
          <w:rFonts w:ascii="Calibri" w:hAnsi="Calibri"/>
          <w:b/>
          <w:color w:val="1F4E79"/>
          <w:sz w:val="20"/>
        </w:rPr>
        <w:t>FR-012</w:t>
      </w:r>
      <w:bookmarkEnd w:id="5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8" w:name="FR_013"/>
      <w:r>
        <w:rPr>
          <w:rFonts w:ascii="Calibri" w:hAnsi="Calibri"/>
          <w:b/>
          <w:color w:val="1F4E79"/>
          <w:sz w:val="20"/>
        </w:rPr>
        <w:t>FR-013</w:t>
      </w:r>
      <w:bookmarkEnd w:id="5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9" w:name="FR_014"/>
      <w:r>
        <w:rPr>
          <w:rFonts w:ascii="Calibri" w:hAnsi="Calibri"/>
          <w:b/>
          <w:color w:val="1F4E79"/>
          <w:sz w:val="20"/>
        </w:rPr>
        <w:t>FR-014</w:t>
      </w:r>
      <w:bookmarkEnd w:id="5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requirement, or review comment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p>
            <w:pPr>
              <w:spacing w:after="40"/>
              <w:ind w:left="173"/>
            </w:pPr>
            <w:r>
              <w:rPr>
                <w:rFonts w:ascii="Georgia" w:hAnsi="Georgia"/>
                <w:sz w:val="19"/>
              </w:rPr>
              <w:t>• Given a sponsor who approves while a review comment has no response, when the expert records the approval, then each such comment is recorded as a condition on it, with the comment's id and the date the sponsor sets for it, and only the sponsor clears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0" w:name="FR_015"/>
      <w:r>
        <w:rPr>
          <w:rFonts w:ascii="Calibri" w:hAnsi="Calibri"/>
          <w:b/>
          <w:color w:val="1F4E79"/>
          <w:sz w:val="20"/>
        </w:rPr>
        <w:t xml:space="preserve">FR-015  </w:t>
      </w:r>
      <w:r>
        <w:rPr>
          <w:rFonts w:ascii="Calibri" w:hAnsi="Calibri"/>
          <w:b/>
          <w:sz w:val="20"/>
        </w:rPr>
        <w:t>Stop in the middle of a set and resume days later without being asked anything twice</w:t>
      </w:r>
      <w:bookmarkEnd w:id="6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1" w:name="FR_016"/>
      <w:r>
        <w:rPr>
          <w:rFonts w:ascii="Calibri" w:hAnsi="Calibri"/>
          <w:b/>
          <w:color w:val="1F4E79"/>
          <w:sz w:val="20"/>
        </w:rPr>
        <w:t xml:space="preserve">FR-016  </w:t>
      </w:r>
      <w:r>
        <w:rPr>
          <w:rFonts w:ascii="Calibri" w:hAnsi="Calibri"/>
          <w:b/>
          <w:sz w:val="20"/>
        </w:rPr>
        <w:t>Refute a grading finding by pointing at the document, and have it withdrawn</w:t>
      </w:r>
      <w:bookmarkEnd w:id="6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2" w:name="FR_017"/>
      <w:r>
        <w:rPr>
          <w:rFonts w:ascii="Calibri" w:hAnsi="Calibri"/>
          <w:b/>
          <w:color w:val="1F4E79"/>
          <w:sz w:val="20"/>
        </w:rPr>
        <w:t>FR-017</w:t>
      </w:r>
      <w:bookmarkEnd w:id="6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3" w:name="FR_018"/>
      <w:r>
        <w:rPr>
          <w:rFonts w:ascii="Calibri" w:hAnsi="Calibri"/>
          <w:b/>
          <w:color w:val="1F4E79"/>
          <w:sz w:val="20"/>
        </w:rPr>
        <w:t xml:space="preserve">FR-018  </w:t>
      </w:r>
      <w:r>
        <w:rPr>
          <w:rFonts w:ascii="Calibri" w:hAnsi="Calibri"/>
          <w:b/>
          <w:sz w:val="20"/>
        </w:rPr>
        <w:t>See the set as it now stands after it was changed outside the view in front of them</w:t>
      </w:r>
      <w:bookmarkEnd w:id="6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4" w:name="FR_019"/>
      <w:r>
        <w:rPr>
          <w:rFonts w:ascii="Calibri" w:hAnsi="Calibri"/>
          <w:b/>
          <w:color w:val="1F4E79"/>
          <w:sz w:val="20"/>
        </w:rPr>
        <w:t xml:space="preserve">FR-019  </w:t>
      </w:r>
      <w:r>
        <w:rPr>
          <w:rFonts w:ascii="Calibri" w:hAnsi="Calibri"/>
          <w:b/>
          <w:sz w:val="20"/>
        </w:rPr>
        <w:t>Stop being asked once the section would already meet the gate</w:t>
      </w:r>
      <w:bookmarkEnd w:id="6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5" w:name="FR_020"/>
      <w:r>
        <w:rPr>
          <w:rFonts w:ascii="Calibri" w:hAnsi="Calibri"/>
          <w:b/>
          <w:color w:val="1F4E79"/>
          <w:sz w:val="20"/>
        </w:rPr>
        <w:t xml:space="preserve">FR-020  </w:t>
      </w:r>
      <w:r>
        <w:rPr>
          <w:rFonts w:ascii="Calibri" w:hAnsi="Calibri"/>
          <w:b/>
          <w:sz w:val="20"/>
        </w:rPr>
        <w:t>Be told when the set states one item two different ways</w:t>
      </w:r>
      <w:bookmarkEnd w:id="6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6" w:name="FR_021"/>
      <w:r>
        <w:rPr>
          <w:rFonts w:ascii="Calibri" w:hAnsi="Calibri"/>
          <w:b/>
          <w:color w:val="1F4E79"/>
          <w:sz w:val="20"/>
        </w:rPr>
        <w:t xml:space="preserve">FR-021  </w:t>
      </w:r>
      <w:r>
        <w:rPr>
          <w:rFonts w:ascii="Calibri" w:hAnsi="Calibri"/>
          <w:b/>
          <w:sz w:val="20"/>
        </w:rPr>
        <w:t>Name each approver of a set, by name and role, before offering it for approval</w:t>
      </w:r>
      <w:bookmarkEnd w:id="6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7" w:name="FR_022"/>
      <w:r>
        <w:rPr>
          <w:rFonts w:ascii="Calibri" w:hAnsi="Calibri"/>
          <w:b/>
          <w:color w:val="1F4E79"/>
          <w:sz w:val="20"/>
        </w:rPr>
        <w:t>FR-022</w:t>
      </w:r>
      <w:bookmarkEnd w:id="6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Comment on an exported copy of the set without using the product, and see each comment's response in the next copy</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 sponsor who never opens the product sees every comment they left in the next copy: with its status, accepted, declined, or answered, its response, and what changed, or marked open while it has no response.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sponsor who comments on an item in an exported copy, when they read the next exported copy, then they see the comment against that item with their name, the date, and the text they marked.</w:t>
            </w:r>
          </w:p>
          <w:p>
            <w:pPr>
              <w:spacing w:after="40"/>
              <w:ind w:left="173"/>
            </w:pPr>
            <w:r>
              <w:rPr>
                <w:rFonts w:ascii="Georgia" w:hAnsi="Georgia"/>
                <w:sz w:val="19"/>
              </w:rPr>
              <w:t>• Given a comment the expert responded to, when the sponsor reads the next exported copy, then they see the comment, its status, the response, and the ids it changed.</w:t>
            </w:r>
          </w:p>
          <w:p>
            <w:pPr>
              <w:spacing w:after="40"/>
              <w:ind w:left="173"/>
            </w:pPr>
            <w:r>
              <w:rPr>
                <w:rFonts w:ascii="Georgia" w:hAnsi="Georgia"/>
                <w:sz w:val="19"/>
              </w:rPr>
              <w:t>• Given a comment with no response yet, when the sponsor reads the next exported copy, then they see the comment marked open.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8" w:name="FR_023"/>
      <w:r>
        <w:rPr>
          <w:rFonts w:ascii="Calibri" w:hAnsi="Calibri"/>
          <w:b/>
          <w:color w:val="1F4E79"/>
          <w:sz w:val="20"/>
        </w:rPr>
        <w:t xml:space="preserve">FR-023  </w:t>
      </w:r>
      <w:r>
        <w:rPr>
          <w:rFonts w:ascii="Calibri" w:hAnsi="Calibri"/>
          <w:b/>
          <w:sz w:val="20"/>
        </w:rPr>
        <w:t>Bring the review comments in an exported copy into the set, and record a response to each</w:t>
      </w:r>
      <w:bookmarkEnd w:id="6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review comment left in an exported copy is in the set once, against the item it marks, and none is lost in an inbox.</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exported copy with review comments, when the expert brings them into the set, then each one is recorded against the item it marks, with the name of the person who left it, the date, and the text they marked.</w:t>
            </w:r>
          </w:p>
          <w:p>
            <w:pPr>
              <w:spacing w:after="40"/>
              <w:ind w:left="173"/>
            </w:pPr>
            <w:r>
              <w:rPr>
                <w:rFonts w:ascii="Georgia" w:hAnsi="Georgia"/>
                <w:sz w:val="19"/>
              </w:rPr>
              <w:t>• Given a copy whose comments were already brought in, when the expert brings it in again, then no comment is recorded twice.</w:t>
            </w:r>
          </w:p>
          <w:p>
            <w:pPr>
              <w:spacing w:after="40"/>
              <w:ind w:left="173"/>
            </w:pPr>
            <w:r>
              <w:rPr>
                <w:rFonts w:ascii="Georgia" w:hAnsi="Georgia"/>
                <w:sz w:val="19"/>
              </w:rPr>
              <w:t>• Given a comment that marks no text, when the expert brings the copy's comments into the set, then it is recorded against the section it sits in.</w:t>
            </w:r>
          </w:p>
          <w:p>
            <w:pPr>
              <w:spacing w:after="40"/>
              <w:ind w:left="173"/>
            </w:pPr>
            <w:r>
              <w:rPr>
                <w:rFonts w:ascii="Georgia" w:hAnsi="Georgia"/>
                <w:sz w:val="19"/>
              </w:rPr>
              <w:t>• Given a comment in the set, when the expert records a response, then the comment records its status, accepted, declined, or answered, the response, and the ids that changed.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69" w:name="prd_forge_wireframes"/>
      <w:r>
        <w:t>Wireframes</w:t>
      </w:r>
      <w:bookmarkEnd w:id="69"/>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A third, the review comments with their responses, is what the sponsor reads in the next exported copy.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Review comments with their responses in the next exported copy</w:t>
      </w:r>
    </w:p>
    <w:p>
      <w:r>
        <w:rPr>
          <w:rFonts w:ascii="Georgia" w:hAnsi="Georgia"/>
        </w:rPr>
        <w:t>Illustration, not a design. Illustrates FR-022. PER-003 sees it at ST-006.</w:t>
      </w:r>
    </w:p>
    <w:p>
      <w:r>
        <w:rPr>
          <w:rFonts w:ascii="Georgia" w:hAnsi="Georgia"/>
        </w:rPr>
        <w:t>The sponsor commented on an earlier copy, and this is the copy they read next. Each marked text is the item's own wording. The comments, responses, and dates are invented, to show the form.</w:t>
      </w:r>
    </w:p>
    <w:p>
      <w:pPr>
        <w:jc w:val="center"/>
      </w:pPr>
      <w:r>
        <w:drawing>
          <wp:inline xmlns:a="http://schemas.openxmlformats.org/drawingml/2006/main" xmlns:pic="http://schemas.openxmlformats.org/drawingml/2006/picture">
            <wp:extent cx="5486400" cy="3508969"/>
            <wp:docPr id="35" name="Picture 35"/>
            <wp:cNvGraphicFramePr>
              <a:graphicFrameLocks noChangeAspect="1"/>
            </wp:cNvGraphicFramePr>
            <a:graphic>
              <a:graphicData uri="http://schemas.openxmlformats.org/drawingml/2006/picture">
                <pic:pic>
                  <pic:nvPicPr>
                    <pic:cNvPr id="0" name="WF-011.png"/>
                    <pic:cNvPicPr/>
                  </pic:nvPicPr>
                  <pic:blipFill>
                    <a:blip r:embed="rId33"/>
                    <a:stretch>
                      <a:fillRect/>
                    </a:stretch>
                  </pic:blipFill>
                  <pic:spPr>
                    <a:xfrm>
                      <a:off x="0" y="0"/>
                      <a:ext cx="5486400" cy="3508969"/>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bookmarkStart w:id="70" w:name="WF_001"/>
      <w:r>
        <w:rPr>
          <w:rFonts w:ascii="Calibri" w:hAnsi="Calibri"/>
          <w:b/>
          <w:color w:val="1F4E79"/>
          <w:sz w:val="20"/>
        </w:rPr>
        <w:t xml:space="preserve">WF-001  </w:t>
      </w:r>
      <w:r>
        <w:rPr>
          <w:rFonts w:ascii="Calibri" w:hAnsi="Calibri"/>
          <w:b/>
          <w:sz w:val="20"/>
        </w:rPr>
        <w:t>The set with one section open</w:t>
      </w:r>
      <w:bookmarkEnd w:id="7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bookmarkStart w:id="71" w:name="WF_002"/>
      <w:r>
        <w:rPr>
          <w:rFonts w:ascii="Calibri" w:hAnsi="Calibri"/>
          <w:b/>
          <w:color w:val="1F4E79"/>
          <w:sz w:val="20"/>
        </w:rPr>
        <w:t xml:space="preserve">WF-002  </w:t>
      </w:r>
      <w:r>
        <w:rPr>
          <w:rFonts w:ascii="Calibri" w:hAnsi="Calibri"/>
          <w:b/>
          <w:sz w:val="20"/>
        </w:rPr>
        <w:t>A new set, before the first interview</w:t>
      </w:r>
      <w:bookmarkEnd w:id="7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bookmarkStart w:id="72" w:name="WF_003"/>
      <w:r>
        <w:rPr>
          <w:rFonts w:ascii="Calibri" w:hAnsi="Calibri"/>
          <w:b/>
          <w:color w:val="1F4E79"/>
          <w:sz w:val="20"/>
        </w:rPr>
        <w:t xml:space="preserve">WF-003  </w:t>
      </w:r>
      <w:r>
        <w:rPr>
          <w:rFonts w:ascii="Calibri" w:hAnsi="Calibri"/>
          <w:b/>
          <w:sz w:val="20"/>
        </w:rPr>
        <w:t>Why a section got its grade</w:t>
      </w:r>
      <w:bookmarkEnd w:id="7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bookmarkStart w:id="73" w:name="WF_004"/>
      <w:r>
        <w:rPr>
          <w:rFonts w:ascii="Calibri" w:hAnsi="Calibri"/>
          <w:b/>
          <w:color w:val="1F4E79"/>
          <w:sz w:val="20"/>
        </w:rPr>
        <w:t xml:space="preserve">WF-004  </w:t>
      </w:r>
      <w:r>
        <w:rPr>
          <w:rFonts w:ascii="Calibri" w:hAnsi="Calibri"/>
          <w:b/>
          <w:sz w:val="20"/>
        </w:rPr>
        <w:t>The standard a section is graded against</w:t>
      </w:r>
      <w:bookmarkEnd w:id="7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bookmarkStart w:id="74" w:name="WF_005"/>
      <w:r>
        <w:rPr>
          <w:rFonts w:ascii="Calibri" w:hAnsi="Calibri"/>
          <w:b/>
          <w:color w:val="1F4E79"/>
          <w:sz w:val="20"/>
        </w:rPr>
        <w:t xml:space="preserve">WF-005  </w:t>
      </w:r>
      <w:r>
        <w:rPr>
          <w:rFonts w:ascii="Calibri" w:hAnsi="Calibri"/>
          <w:b/>
          <w:sz w:val="20"/>
        </w:rPr>
        <w:t>What a team could not build from this set</w:t>
      </w:r>
      <w:bookmarkEnd w:id="7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bookmarkStart w:id="75" w:name="WF_006"/>
      <w:r>
        <w:rPr>
          <w:rFonts w:ascii="Calibri" w:hAnsi="Calibri"/>
          <w:b/>
          <w:color w:val="1F4E79"/>
          <w:sz w:val="20"/>
        </w:rPr>
        <w:t xml:space="preserve">WF-006  </w:t>
      </w:r>
      <w:r>
        <w:rPr>
          <w:rFonts w:ascii="Calibri" w:hAnsi="Calibri"/>
          <w:b/>
          <w:sz w:val="20"/>
        </w:rPr>
        <w:t>What the approver is asked to approve</w:t>
      </w:r>
      <w:bookmarkEnd w:id="7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bookmarkStart w:id="76" w:name="WF_007"/>
      <w:r>
        <w:rPr>
          <w:rFonts w:ascii="Calibri" w:hAnsi="Calibri"/>
          <w:b/>
          <w:color w:val="1F4E79"/>
          <w:sz w:val="20"/>
        </w:rPr>
        <w:t xml:space="preserve">WF-007  </w:t>
      </w:r>
      <w:r>
        <w:rPr>
          <w:rFonts w:ascii="Calibri" w:hAnsi="Calibri"/>
          <w:b/>
          <w:sz w:val="20"/>
        </w:rPr>
        <w:t>Before any set exists</w:t>
      </w:r>
      <w:bookmarkEnd w:id="7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bookmarkStart w:id="77" w:name="WF_008"/>
      <w:r>
        <w:rPr>
          <w:rFonts w:ascii="Calibri" w:hAnsi="Calibri"/>
          <w:b/>
          <w:color w:val="1F4E79"/>
          <w:sz w:val="20"/>
        </w:rPr>
        <w:t xml:space="preserve">WF-008  </w:t>
      </w:r>
      <w:r>
        <w:rPr>
          <w:rFonts w:ascii="Calibri" w:hAnsi="Calibri"/>
          <w:b/>
          <w:sz w:val="20"/>
        </w:rPr>
        <w:t>A section re-graded after one answer</w:t>
      </w:r>
      <w:bookmarkEnd w:id="7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bookmarkStart w:id="78" w:name="WF_009"/>
      <w:r>
        <w:rPr>
          <w:rFonts w:ascii="Calibri" w:hAnsi="Calibri"/>
          <w:b/>
          <w:color w:val="1F4E79"/>
          <w:sz w:val="20"/>
        </w:rPr>
        <w:t xml:space="preserve">WF-009  </w:t>
      </w:r>
      <w:r>
        <w:rPr>
          <w:rFonts w:ascii="Calibri" w:hAnsi="Calibri"/>
          <w:b/>
          <w:sz w:val="20"/>
        </w:rPr>
        <w:t>A buildability review that finds gaps</w:t>
      </w:r>
      <w:bookmarkEnd w:id="7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bookmarkStart w:id="79" w:name="WF_010"/>
      <w:r>
        <w:rPr>
          <w:rFonts w:ascii="Calibri" w:hAnsi="Calibri"/>
          <w:b/>
          <w:color w:val="1F4E79"/>
          <w:sz w:val="20"/>
        </w:rPr>
        <w:t xml:space="preserve">WF-010  </w:t>
      </w:r>
      <w:r>
        <w:rPr>
          <w:rFonts w:ascii="Calibri" w:hAnsi="Calibri"/>
          <w:b/>
          <w:sz w:val="20"/>
        </w:rPr>
        <w:t>Resuming a set after a week away</w:t>
      </w:r>
      <w:bookmarkEnd w:id="7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pPr>
        <w:keepNext/>
        <w:spacing w:before="220" w:after="60"/>
        <w:ind w:left="115"/>
        <w:pBdr>
          <w:left w:val="single" w:sz="18" w:space="0" w:color="1F4E79"/>
        </w:pBdr>
      </w:pPr>
      <w:bookmarkStart w:id="80" w:name="WF_011"/>
      <w:r>
        <w:rPr>
          <w:rFonts w:ascii="Calibri" w:hAnsi="Calibri"/>
          <w:b/>
          <w:color w:val="1F4E79"/>
          <w:sz w:val="20"/>
        </w:rPr>
        <w:t xml:space="preserve">WF-011  </w:t>
      </w:r>
      <w:r>
        <w:rPr>
          <w:rFonts w:ascii="Calibri" w:hAnsi="Calibri"/>
          <w:b/>
          <w:sz w:val="20"/>
        </w:rPr>
        <w:t>Review comments with their responses in the next exported copy</w:t>
      </w:r>
      <w:bookmarkEnd w:id="8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comments, together in the copy</w:t>
            </w:r>
          </w:p>
          <w:p>
            <w:pPr>
              <w:spacing w:after="40"/>
              <w:ind w:left="173"/>
            </w:pPr>
            <w:r>
              <w:rPr>
                <w:rFonts w:ascii="Georgia" w:hAnsi="Georgia"/>
                <w:sz w:val="19"/>
              </w:rPr>
              <w:t>• Each comment, with what it is about, who left it, when, and the text they marked</w:t>
            </w:r>
          </w:p>
          <w:p>
            <w:pPr>
              <w:spacing w:after="40"/>
              <w:ind w:left="173"/>
            </w:pPr>
            <w:r>
              <w:rPr>
                <w:rFonts w:ascii="Georgia" w:hAnsi="Georgia"/>
                <w:sz w:val="19"/>
              </w:rPr>
              <w:t>• Its status, accepted, declined, or answered</w:t>
            </w:r>
          </w:p>
          <w:p>
            <w:pPr>
              <w:spacing w:after="40"/>
              <w:ind w:left="173"/>
            </w:pPr>
            <w:r>
              <w:rPr>
                <w:rFonts w:ascii="Georgia" w:hAnsi="Georgia"/>
                <w:sz w:val="19"/>
              </w:rPr>
              <w:t>• The response, and what changed because of it</w:t>
            </w:r>
          </w:p>
          <w:p>
            <w:pPr>
              <w:spacing w:after="40"/>
              <w:ind w:left="173"/>
            </w:pPr>
            <w:r>
              <w:rPr>
                <w:rFonts w:ascii="Georgia" w:hAnsi="Georgia"/>
                <w:sz w:val="19"/>
              </w:rPr>
              <w:t>• A comment with no response yet, marked open</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bookmarkStart w:id="81" w:name="prd_forge_nonfunctional_requirements"/>
      <w:r>
        <w:t>Non-functional requirements</w:t>
      </w:r>
      <w:bookmarkEnd w:id="81"/>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for the set's text or the expert's answers; domain research sends only standard and term names, and can be turned off</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and gradable within a major product release</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bookmarkStart w:id="82" w:name="NFR_001"/>
      <w:r>
        <w:rPr>
          <w:rFonts w:ascii="Calibri" w:hAnsi="Calibri"/>
          <w:b/>
          <w:color w:val="1F4E79"/>
          <w:sz w:val="20"/>
        </w:rPr>
        <w:t>NFR-001</w:t>
      </w:r>
      <w:bookmarkEnd w:id="8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bookmarkStart w:id="83" w:name="NFR_002"/>
      <w:r>
        <w:rPr>
          <w:rFonts w:ascii="Calibri" w:hAnsi="Calibri"/>
          <w:b/>
          <w:color w:val="1F4E79"/>
          <w:sz w:val="20"/>
        </w:rPr>
        <w:t xml:space="preserve">NFR-002  </w:t>
      </w:r>
      <w:r>
        <w:rPr>
          <w:rFonts w:ascii="Calibri" w:hAnsi="Calibri"/>
          <w:b/>
          <w:sz w:val="20"/>
        </w:rPr>
        <w:t>A grading pass does not make the expert wait so long that they stop asking for one.</w:t>
      </w:r>
      <w:bookmarkEnd w:id="8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bookmarkStart w:id="84" w:name="NFR_003"/>
      <w:r>
        <w:rPr>
          <w:rFonts w:ascii="Calibri" w:hAnsi="Calibri"/>
          <w:b/>
          <w:color w:val="1F4E79"/>
          <w:sz w:val="20"/>
        </w:rPr>
        <w:t xml:space="preserve">NFR-003  </w:t>
      </w:r>
      <w:r>
        <w:rPr>
          <w:rFonts w:ascii="Calibri" w:hAnsi="Calibri"/>
          <w:b/>
          <w:sz w:val="20"/>
        </w:rPr>
        <w:t>A set stays workable at the size real products reach.</w:t>
      </w:r>
      <w:bookmarkEnd w:id="8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5" w:name="NFR_004"/>
      <w:r>
        <w:rPr>
          <w:rFonts w:ascii="Calibri" w:hAnsi="Calibri"/>
          <w:b/>
          <w:color w:val="1F4E79"/>
          <w:sz w:val="20"/>
        </w:rPr>
        <w:t xml:space="preserve">NFR-004  </w:t>
      </w:r>
      <w:r>
        <w:rPr>
          <w:rFonts w:ascii="Calibri" w:hAnsi="Calibri"/>
          <w:b/>
          <w:sz w:val="20"/>
        </w:rPr>
        <w:t>Work survives the expert stopping, and survives the tool they were using going away.</w:t>
      </w:r>
      <w:bookmarkEnd w:id="8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86" w:name="NFR_005"/>
      <w:r>
        <w:rPr>
          <w:rFonts w:ascii="Calibri" w:hAnsi="Calibri"/>
          <w:b/>
          <w:color w:val="1F4E79"/>
          <w:sz w:val="20"/>
        </w:rPr>
        <w:t>NFR-005</w:t>
      </w:r>
      <w:bookmarkEnd w:id="8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7" w:name="NFR_006"/>
      <w:r>
        <w:rPr>
          <w:rFonts w:ascii="Calibri" w:hAnsi="Calibri"/>
          <w:b/>
          <w:color w:val="1F4E79"/>
          <w:sz w:val="20"/>
        </w:rPr>
        <w:t>NFR-006</w:t>
      </w:r>
      <w:bookmarkEnd w:id="8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8" w:name="NFR_007"/>
      <w:r>
        <w:rPr>
          <w:rFonts w:ascii="Calibri" w:hAnsi="Calibri"/>
          <w:b/>
          <w:color w:val="1F4E79"/>
          <w:sz w:val="20"/>
        </w:rPr>
        <w:t xml:space="preserve">NFR-007  </w:t>
      </w:r>
      <w:r>
        <w:rPr>
          <w:rFonts w:ascii="Calibri" w:hAnsi="Calibri"/>
          <w:b/>
          <w:sz w:val="20"/>
        </w:rPr>
        <w:t>An expert can tell why a section received the score it did, after the fact.</w:t>
      </w:r>
      <w:bookmarkEnd w:id="8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bookmarkStart w:id="89" w:name="NFR_008"/>
      <w:r>
        <w:rPr>
          <w:rFonts w:ascii="Calibri" w:hAnsi="Calibri"/>
          <w:b/>
          <w:color w:val="1F4E79"/>
          <w:sz w:val="20"/>
        </w:rPr>
        <w:t>NFR-008</w:t>
      </w:r>
      <w:bookmarkEnd w:id="8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organization already works in; this product adds no new place for it to go. The one outbound request is the domain check's research, on by default, which carries only the names of standards, terms of art, and the domain. An expert can turn it off for one set under TR-015, and an organization's own policy can forbid it for every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beyond the boundary A-005 names that the set's text or the expert's answers reach. An outbound query counts only when it holds more than the names of standards, terms of art, and the domain.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 and a review of the queries the domain check sent while grading the reference set,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90" w:name="NFR_009"/>
      <w:r>
        <w:rPr>
          <w:rFonts w:ascii="Calibri" w:hAnsi="Calibri"/>
          <w:b/>
          <w:color w:val="1F4E79"/>
          <w:sz w:val="20"/>
        </w:rPr>
        <w:t>NFR-009</w:t>
      </w:r>
      <w:bookmarkEnd w:id="9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written by an earlier release of the product is still readable and still gradable by a later release.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product release N that product release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product release</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product release and run the current product release against all of them, per product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bookmarkStart w:id="91" w:name="NFR_010"/>
      <w:r>
        <w:rPr>
          <w:rFonts w:ascii="Calibri" w:hAnsi="Calibri"/>
          <w:b/>
          <w:color w:val="1F4E79"/>
          <w:sz w:val="20"/>
        </w:rPr>
        <w:t>NFR-010</w:t>
      </w:r>
      <w:bookmarkEnd w:id="9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92" w:name="NFR_011"/>
      <w:r>
        <w:rPr>
          <w:rFonts w:ascii="Calibri" w:hAnsi="Calibri"/>
          <w:b/>
          <w:color w:val="1F4E79"/>
          <w:sz w:val="20"/>
        </w:rPr>
        <w:t>NFR-011</w:t>
      </w:r>
      <w:bookmarkEnd w:id="9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bookmarkStart w:id="93" w:name="NFR_012"/>
      <w:r>
        <w:rPr>
          <w:rFonts w:ascii="Calibri" w:hAnsi="Calibri"/>
          <w:b/>
          <w:color w:val="1F4E79"/>
          <w:sz w:val="20"/>
        </w:rPr>
        <w:t>NFR-012</w:t>
      </w:r>
      <w:bookmarkEnd w:id="9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bookmarkStart w:id="94" w:name="prd_forge_constraints"/>
      <w:r>
        <w:t>Constraints</w:t>
      </w:r>
      <w:bookmarkEnd w:id="94"/>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bookmarkStart w:id="95" w:name="prd_forge_decision_rights"/>
      <w:r>
        <w:t>Decision rights and trust rules</w:t>
      </w:r>
      <w:bookmarkEnd w:id="95"/>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3892133" cy="7315200"/>
            <wp:docPr id="36" name="Picture 36"/>
            <wp:cNvGraphicFramePr>
              <a:graphicFrameLocks noChangeAspect="1"/>
            </wp:cNvGraphicFramePr>
            <a:graphic>
              <a:graphicData uri="http://schemas.openxmlformats.org/drawingml/2006/picture">
                <pic:pic>
                  <pic:nvPicPr>
                    <pic:cNvPr id="0" name="decision-rights.png"/>
                    <pic:cNvPicPr/>
                  </pic:nvPicPr>
                  <pic:blipFill>
                    <a:blip r:embed="rId34"/>
                    <a:stretch>
                      <a:fillRect/>
                    </a:stretch>
                  </pic:blipFill>
                  <pic:spPr>
                    <a:xfrm>
                      <a:off x="0" y="0"/>
                      <a:ext cx="3892133"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58"/>
        <w:gridCol w:w="2753"/>
        <w:gridCol w:w="1202"/>
        <w:gridCol w:w="1823"/>
        <w:gridCol w:w="1557"/>
      </w:tblGrid>
      <w:tr>
        <w:tc>
          <w:tcPr>
            <w:tcW w:type="dxa" w:w="1159"/>
            <w:tcBorders>
              <w:bottom w:val="single" w:sz="12" w:space="4" w:color="16181D"/>
            </w:tcBorders>
          </w:tcPr>
          <w:p>
            <w:pPr>
              <w:spacing w:after="60"/>
            </w:pPr>
            <w:r/>
            <w:r>
              <w:rPr>
                <w:rFonts w:ascii="Calibri" w:hAnsi="Calibri"/>
                <w:b/>
                <w:caps/>
                <w:color w:val="5C6370"/>
                <w:sz w:val="15"/>
              </w:rPr>
              <w:t>ID</w:t>
            </w:r>
          </w:p>
        </w:tc>
        <w:tc>
          <w:tcPr>
            <w:tcW w:type="dxa" w:w="2754"/>
            <w:tcBorders>
              <w:bottom w:val="single" w:sz="12" w:space="4" w:color="16181D"/>
            </w:tcBorders>
          </w:tcPr>
          <w:p>
            <w:pPr>
              <w:spacing w:after="60"/>
            </w:pPr>
            <w:r/>
            <w:r>
              <w:rPr>
                <w:rFonts w:ascii="Calibri" w:hAnsi="Calibri"/>
                <w:b/>
                <w:caps/>
                <w:color w:val="5C6370"/>
                <w:sz w:val="15"/>
              </w:rPr>
              <w:t>Decision</w:t>
            </w:r>
          </w:p>
        </w:tc>
        <w:tc>
          <w:tcPr>
            <w:tcW w:type="dxa" w:w="1203"/>
            <w:tcBorders>
              <w:bottom w:val="single" w:sz="12" w:space="4" w:color="16181D"/>
            </w:tcBorders>
          </w:tcPr>
          <w:p>
            <w:pPr>
              <w:spacing w:after="60"/>
            </w:pPr>
            <w:r/>
            <w:r>
              <w:rPr>
                <w:rFonts w:ascii="Calibri" w:hAnsi="Calibri"/>
                <w:b/>
                <w:caps/>
                <w:color w:val="5C6370"/>
                <w:sz w:val="15"/>
              </w:rPr>
              <w:t>Decider</w:t>
            </w:r>
          </w:p>
        </w:tc>
        <w:tc>
          <w:tcPr>
            <w:tcW w:type="dxa" w:w="1823"/>
            <w:tcBorders>
              <w:bottom w:val="single" w:sz="12" w:space="4" w:color="16181D"/>
            </w:tcBorders>
          </w:tcPr>
          <w:p>
            <w:pPr>
              <w:spacing w:after="60"/>
            </w:pPr>
            <w:r/>
            <w:r>
              <w:rPr>
                <w:rFonts w:ascii="Calibri" w:hAnsi="Calibri"/>
                <w:b/>
                <w:caps/>
                <w:color w:val="5C6370"/>
                <w:sz w:val="15"/>
              </w:rPr>
              <w:t>Delegable to an agent</w:t>
            </w:r>
          </w:p>
        </w:tc>
        <w:tc>
          <w:tcPr>
            <w:tcW w:type="dxa" w:w="1557"/>
            <w:tcBorders>
              <w:bottom w:val="single" w:sz="12" w:space="4" w:color="16181D"/>
            </w:tcBorders>
          </w:tcPr>
          <w:p>
            <w:pPr>
              <w:spacing w:after="60"/>
            </w:pPr>
            <w:r/>
            <w:r>
              <w:rPr>
                <w:rFonts w:ascii="Calibri" w:hAnsi="Calibri"/>
                <w:b/>
                <w:caps/>
                <w:color w:val="5C6370"/>
                <w:sz w:val="15"/>
              </w:rPr>
              <w:t>Never delegated</w:t>
            </w:r>
          </w:p>
        </w:tc>
      </w:tr>
      <w:tr>
        <w:tc>
          <w:tcPr>
            <w:tcW w:type="dxa" w:w="1159"/>
            <w:tcBorders>
              <w:bottom w:val="single" w:sz="6" w:space="4" w:color="D8DCE3"/>
            </w:tcBorders>
          </w:tcPr>
          <w:p>
            <w:pPr>
              <w:spacing w:after="60"/>
            </w:pPr>
            <w:r/>
            <w:r>
              <w:rPr>
                <w:rFonts w:ascii="Georgia" w:hAnsi="Georgia"/>
                <w:sz w:val="18"/>
              </w:rPr>
              <w:t>TR-001</w:t>
            </w:r>
          </w:p>
        </w:tc>
        <w:tc>
          <w:tcPr>
            <w:tcW w:type="dxa" w:w="2754"/>
            <w:tcBorders>
              <w:bottom w:val="single" w:sz="6" w:space="4" w:color="D8DCE3"/>
            </w:tcBorders>
          </w:tcPr>
          <w:p>
            <w:pPr>
              <w:spacing w:after="60"/>
            </w:pPr>
            <w:r/>
            <w:r>
              <w:rPr>
                <w:rFonts w:ascii="Georgia" w:hAnsi="Georgia"/>
                <w:sz w:val="18"/>
              </w:rPr>
              <w:t>Approve a PRD for a release</w:t>
            </w:r>
          </w:p>
        </w:tc>
        <w:tc>
          <w:tcPr>
            <w:tcW w:type="dxa" w:w="1203"/>
            <w:tcBorders>
              <w:bottom w:val="single" w:sz="6" w:space="4" w:color="D8DCE3"/>
            </w:tcBorders>
          </w:tcPr>
          <w:p>
            <w:pPr>
              <w:spacing w:after="60"/>
            </w:pPr>
            <w:r/>
            <w:r>
              <w:rPr>
                <w:rFonts w:ascii="Georgia" w:hAnsi="Georgia"/>
                <w:sz w:val="18"/>
              </w:rPr>
              <w:t>PER-003</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TR-002</w:t>
            </w:r>
          </w:p>
        </w:tc>
        <w:tc>
          <w:tcPr>
            <w:tcW w:type="dxa" w:w="2754"/>
            <w:tcBorders>
              <w:bottom w:val="single" w:sz="6" w:space="4" w:color="D8DCE3"/>
            </w:tcBorders>
          </w:tcPr>
          <w:p>
            <w:pPr>
              <w:spacing w:after="60"/>
            </w:pPr>
            <w:r/>
            <w:r>
              <w:rPr>
                <w:rFonts w:ascii="Georgia" w:hAnsi="Georgia"/>
                <w:sz w:val="18"/>
              </w:rPr>
              <w:t>Set a section to final</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TR-003</w:t>
            </w:r>
          </w:p>
        </w:tc>
        <w:tc>
          <w:tcPr>
            <w:tcW w:type="dxa" w:w="2754"/>
            <w:tcBorders>
              <w:bottom w:val="single" w:sz="6" w:space="4" w:color="D8DCE3"/>
            </w:tcBorders>
          </w:tcPr>
          <w:p>
            <w:pPr>
              <w:spacing w:after="60"/>
            </w:pPr>
            <w:r/>
            <w:r>
              <w:rPr>
                <w:rFonts w:ascii="Georgia" w:hAnsi="Georgia"/>
                <w:sz w:val="18"/>
              </w:rPr>
              <w:t>Produce a section's score and findings</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b/>
                <w:sz w:val="18"/>
              </w:rPr>
              <w:t>yes</w:t>
            </w:r>
          </w:p>
        </w:tc>
        <w:tc>
          <w:tcPr>
            <w:tcW w:type="dxa" w:w="1557"/>
            <w:tcBorders>
              <w:bottom w:val="single" w:sz="6" w:space="4" w:color="D8DCE3"/>
            </w:tcBorders>
          </w:tcPr>
          <w:p>
            <w:pPr>
              <w:spacing w:after="60"/>
            </w:pPr>
            <w:r/>
            <w:r>
              <w:rPr>
                <w:rFonts w:ascii="Georgia" w:hAnsi="Georgia"/>
                <w:sz w:val="18"/>
              </w:rPr>
              <w:t>no</w:t>
            </w:r>
          </w:p>
        </w:tc>
      </w:tr>
      <w:tr>
        <w:tc>
          <w:tcPr>
            <w:tcW w:type="dxa" w:w="1159"/>
            <w:tcBorders>
              <w:bottom w:val="single" w:sz="6" w:space="4" w:color="D8DCE3"/>
            </w:tcBorders>
          </w:tcPr>
          <w:p>
            <w:pPr>
              <w:spacing w:after="60"/>
            </w:pPr>
            <w:r/>
            <w:r>
              <w:rPr>
                <w:rFonts w:ascii="Georgia" w:hAnsi="Georgia"/>
                <w:sz w:val="18"/>
              </w:rPr>
              <w:t>TR-004</w:t>
            </w:r>
          </w:p>
        </w:tc>
        <w:tc>
          <w:tcPr>
            <w:tcW w:type="dxa" w:w="2754"/>
            <w:tcBorders>
              <w:bottom w:val="single" w:sz="6" w:space="4" w:color="D8DCE3"/>
            </w:tcBorders>
          </w:tcPr>
          <w:p>
            <w:pPr>
              <w:spacing w:after="60"/>
            </w:pPr>
            <w:r/>
            <w:r>
              <w:rPr>
                <w:rFonts w:ascii="Georgia" w:hAnsi="Georgia"/>
                <w:sz w:val="18"/>
              </w:rPr>
              <w:t>Decide scope</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TR-005</w:t>
            </w:r>
          </w:p>
        </w:tc>
        <w:tc>
          <w:tcPr>
            <w:tcW w:type="dxa" w:w="2754"/>
            <w:tcBorders>
              <w:bottom w:val="single" w:sz="6" w:space="4" w:color="D8DCE3"/>
            </w:tcBorders>
          </w:tcPr>
          <w:p>
            <w:pPr>
              <w:spacing w:after="60"/>
            </w:pPr>
            <w:r/>
            <w:r>
              <w:rPr>
                <w:rFonts w:ascii="Georgia" w:hAnsi="Georgia"/>
                <w:sz w:val="18"/>
              </w:rPr>
              <w:t>State a domain fact as true</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TR-006</w:t>
            </w:r>
          </w:p>
        </w:tc>
        <w:tc>
          <w:tcPr>
            <w:tcW w:type="dxa" w:w="2754"/>
            <w:tcBorders>
              <w:bottom w:val="single" w:sz="6" w:space="4" w:color="D8DCE3"/>
            </w:tcBorders>
          </w:tcPr>
          <w:p>
            <w:pPr>
              <w:spacing w:after="60"/>
            </w:pPr>
            <w:r/>
            <w:r>
              <w:rPr>
                <w:rFonts w:ascii="Georgia" w:hAnsi="Georgia"/>
                <w:sz w:val="18"/>
              </w:rPr>
              <w:t>Judge buildability, and report the gaps</w:t>
            </w:r>
          </w:p>
        </w:tc>
        <w:tc>
          <w:tcPr>
            <w:tcW w:type="dxa" w:w="1203"/>
            <w:tcBorders>
              <w:bottom w:val="single" w:sz="6" w:space="4" w:color="D8DCE3"/>
            </w:tcBorders>
          </w:tcPr>
          <w:p>
            <w:pPr>
              <w:spacing w:after="60"/>
            </w:pPr>
            <w:r/>
            <w:r>
              <w:rPr>
                <w:rFonts w:ascii="Georgia" w:hAnsi="Georgia"/>
                <w:sz w:val="18"/>
              </w:rPr>
              <w:t>PER-002</w:t>
            </w:r>
          </w:p>
        </w:tc>
        <w:tc>
          <w:tcPr>
            <w:tcW w:type="dxa" w:w="1823"/>
            <w:tcBorders>
              <w:bottom w:val="single" w:sz="6" w:space="4" w:color="D8DCE3"/>
            </w:tcBorders>
          </w:tcPr>
          <w:p>
            <w:pPr>
              <w:spacing w:after="60"/>
            </w:pPr>
            <w:r/>
            <w:r>
              <w:rPr>
                <w:rFonts w:ascii="Georgia" w:hAnsi="Georgia"/>
                <w:b/>
                <w:sz w:val="18"/>
              </w:rPr>
              <w:t>yes</w:t>
            </w:r>
          </w:p>
        </w:tc>
        <w:tc>
          <w:tcPr>
            <w:tcW w:type="dxa" w:w="1557"/>
            <w:tcBorders>
              <w:bottom w:val="single" w:sz="6" w:space="4" w:color="D8DCE3"/>
            </w:tcBorders>
          </w:tcPr>
          <w:p>
            <w:pPr>
              <w:spacing w:after="60"/>
            </w:pPr>
            <w:r/>
            <w:r>
              <w:rPr>
                <w:rFonts w:ascii="Georgia" w:hAnsi="Georgia"/>
                <w:sz w:val="18"/>
              </w:rPr>
              <w:t>no</w:t>
            </w:r>
          </w:p>
        </w:tc>
      </w:tr>
      <w:tr>
        <w:tc>
          <w:tcPr>
            <w:tcW w:type="dxa" w:w="1159"/>
            <w:tcBorders>
              <w:bottom w:val="single" w:sz="6" w:space="4" w:color="D8DCE3"/>
            </w:tcBorders>
          </w:tcPr>
          <w:p>
            <w:pPr>
              <w:spacing w:after="60"/>
            </w:pPr>
            <w:r/>
            <w:r>
              <w:rPr>
                <w:rFonts w:ascii="Georgia" w:hAnsi="Georgia"/>
                <w:sz w:val="18"/>
              </w:rPr>
              <w:t>TR-007</w:t>
            </w:r>
          </w:p>
        </w:tc>
        <w:tc>
          <w:tcPr>
            <w:tcW w:type="dxa" w:w="2754"/>
            <w:tcBorders>
              <w:bottom w:val="single" w:sz="6" w:space="4" w:color="D8DCE3"/>
            </w:tcBorders>
          </w:tcPr>
          <w:p>
            <w:pPr>
              <w:spacing w:after="60"/>
            </w:pPr>
            <w:r/>
            <w:r>
              <w:rPr>
                <w:rFonts w:ascii="Georgia" w:hAnsi="Georgia"/>
                <w:sz w:val="18"/>
              </w:rPr>
              <w:t>Decide the domain's own terms</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TR-008</w:t>
            </w:r>
          </w:p>
        </w:tc>
        <w:tc>
          <w:tcPr>
            <w:tcW w:type="dxa" w:w="2754"/>
            <w:tcBorders>
              <w:bottom w:val="single" w:sz="6" w:space="4" w:color="D8DCE3"/>
            </w:tcBorders>
          </w:tcPr>
          <w:p>
            <w:pPr>
              <w:spacing w:after="60"/>
            </w:pPr>
            <w:r/>
            <w:r>
              <w:rPr>
                <w:rFonts w:ascii="Georgia" w:hAnsi="Georgia"/>
                <w:sz w:val="18"/>
              </w:rPr>
              <w:t>Decide a section's interview is finished</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TR-009</w:t>
            </w:r>
          </w:p>
        </w:tc>
        <w:tc>
          <w:tcPr>
            <w:tcW w:type="dxa" w:w="2754"/>
            <w:tcBorders>
              <w:bottom w:val="single" w:sz="6" w:space="4" w:color="D8DCE3"/>
            </w:tcBorders>
          </w:tcPr>
          <w:p>
            <w:pPr>
              <w:spacing w:after="60"/>
            </w:pPr>
            <w:r/>
            <w:r>
              <w:rPr>
                <w:rFonts w:ascii="Georgia" w:hAnsi="Georgia"/>
                <w:sz w:val="18"/>
              </w:rPr>
              <w:t>Decide a section may be left at draft</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TR-010</w:t>
            </w:r>
          </w:p>
        </w:tc>
        <w:tc>
          <w:tcPr>
            <w:tcW w:type="dxa" w:w="2754"/>
            <w:tcBorders>
              <w:bottom w:val="single" w:sz="6" w:space="4" w:color="D8DCE3"/>
            </w:tcBorders>
          </w:tcPr>
          <w:p>
            <w:pPr>
              <w:spacing w:after="60"/>
            </w:pPr>
            <w:r/>
            <w:r>
              <w:rPr>
                <w:rFonts w:ascii="Georgia" w:hAnsi="Georgia"/>
                <w:sz w:val="18"/>
              </w:rPr>
              <w:t>Decide the set may be offered for approval</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TR-011</w:t>
            </w:r>
          </w:p>
        </w:tc>
        <w:tc>
          <w:tcPr>
            <w:tcW w:type="dxa" w:w="2754"/>
            <w:tcBorders>
              <w:bottom w:val="single" w:sz="6" w:space="4" w:color="D8DCE3"/>
            </w:tcBorders>
          </w:tcPr>
          <w:p>
            <w:pPr>
              <w:spacing w:after="60"/>
            </w:pPr>
            <w:r/>
            <w:r>
              <w:rPr>
                <w:rFonts w:ascii="Georgia" w:hAnsi="Georgia"/>
                <w:sz w:val="18"/>
              </w:rPr>
              <w:t>Decide a backlog can be mapped</w:t>
            </w:r>
          </w:p>
        </w:tc>
        <w:tc>
          <w:tcPr>
            <w:tcW w:type="dxa" w:w="1203"/>
            <w:tcBorders>
              <w:bottom w:val="single" w:sz="6" w:space="4" w:color="D8DCE3"/>
            </w:tcBorders>
          </w:tcPr>
          <w:p>
            <w:pPr>
              <w:spacing w:after="60"/>
            </w:pPr>
            <w:r/>
            <w:r>
              <w:rPr>
                <w:rFonts w:ascii="Georgia" w:hAnsi="Georgia"/>
                <w:sz w:val="18"/>
              </w:rPr>
              <w:t>PER-004</w:t>
            </w:r>
          </w:p>
        </w:tc>
        <w:tc>
          <w:tcPr>
            <w:tcW w:type="dxa" w:w="1823"/>
            <w:tcBorders>
              <w:bottom w:val="single" w:sz="6" w:space="4" w:color="D8DCE3"/>
            </w:tcBorders>
          </w:tcPr>
          <w:p>
            <w:pPr>
              <w:spacing w:after="60"/>
            </w:pPr>
            <w:r/>
            <w:r>
              <w:rPr>
                <w:rFonts w:ascii="Georgia" w:hAnsi="Georgia"/>
                <w:b/>
                <w:sz w:val="18"/>
              </w:rPr>
              <w:t>yes</w:t>
            </w:r>
          </w:p>
        </w:tc>
        <w:tc>
          <w:tcPr>
            <w:tcW w:type="dxa" w:w="1557"/>
            <w:tcBorders>
              <w:bottom w:val="single" w:sz="6" w:space="4" w:color="D8DCE3"/>
            </w:tcBorders>
          </w:tcPr>
          <w:p>
            <w:pPr>
              <w:spacing w:after="60"/>
            </w:pPr>
            <w:r/>
            <w:r>
              <w:rPr>
                <w:rFonts w:ascii="Georgia" w:hAnsi="Georgia"/>
                <w:sz w:val="18"/>
              </w:rPr>
              <w:t>no</w:t>
            </w:r>
          </w:p>
        </w:tc>
      </w:tr>
      <w:tr>
        <w:tc>
          <w:tcPr>
            <w:tcW w:type="dxa" w:w="1159"/>
            <w:tcBorders>
              <w:bottom w:val="single" w:sz="6" w:space="4" w:color="D8DCE3"/>
            </w:tcBorders>
          </w:tcPr>
          <w:p>
            <w:pPr>
              <w:spacing w:after="60"/>
            </w:pPr>
            <w:r/>
            <w:r>
              <w:rPr>
                <w:rFonts w:ascii="Georgia" w:hAnsi="Georgia"/>
                <w:sz w:val="18"/>
              </w:rPr>
              <w:t>TR-012</w:t>
            </w:r>
          </w:p>
        </w:tc>
        <w:tc>
          <w:tcPr>
            <w:tcW w:type="dxa" w:w="2754"/>
            <w:tcBorders>
              <w:bottom w:val="single" w:sz="6" w:space="4" w:color="D8DCE3"/>
            </w:tcBorders>
          </w:tcPr>
          <w:p>
            <w:pPr>
              <w:spacing w:after="60"/>
            </w:pPr>
            <w:r/>
            <w:r>
              <w:rPr>
                <w:rFonts w:ascii="Georgia" w:hAnsi="Georgia"/>
                <w:sz w:val="18"/>
              </w:rPr>
              <w:t>Decide which epics come first</w:t>
            </w:r>
          </w:p>
        </w:tc>
        <w:tc>
          <w:tcPr>
            <w:tcW w:type="dxa" w:w="1203"/>
            <w:tcBorders>
              <w:bottom w:val="single" w:sz="6" w:space="4" w:color="D8DCE3"/>
            </w:tcBorders>
          </w:tcPr>
          <w:p>
            <w:pPr>
              <w:spacing w:after="60"/>
            </w:pPr>
            <w:r/>
            <w:r>
              <w:rPr>
                <w:rFonts w:ascii="Georgia" w:hAnsi="Georgia"/>
                <w:sz w:val="18"/>
              </w:rPr>
              <w:t>PER-004</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TR-013</w:t>
            </w:r>
          </w:p>
        </w:tc>
        <w:tc>
          <w:tcPr>
            <w:tcW w:type="dxa" w:w="2754"/>
            <w:tcBorders>
              <w:bottom w:val="single" w:sz="6" w:space="4" w:color="D8DCE3"/>
            </w:tcBorders>
          </w:tcPr>
          <w:p>
            <w:pPr>
              <w:spacing w:after="60"/>
            </w:pPr>
            <w:r/>
            <w:r>
              <w:rPr>
                <w:rFonts w:ascii="Georgia" w:hAnsi="Georgia"/>
                <w:sz w:val="18"/>
              </w:rPr>
              <w:t>Accept or correct a drafted section</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TR-014</w:t>
            </w:r>
          </w:p>
        </w:tc>
        <w:tc>
          <w:tcPr>
            <w:tcW w:type="dxa" w:w="2754"/>
            <w:tcBorders>
              <w:bottom w:val="single" w:sz="6" w:space="4" w:color="D8DCE3"/>
            </w:tcBorders>
          </w:tcPr>
          <w:p>
            <w:pPr>
              <w:spacing w:after="60"/>
            </w:pPr>
            <w:r/>
            <w:r>
              <w:rPr>
                <w:rFonts w:ascii="Georgia" w:hAnsi="Georgia"/>
                <w:sz w:val="18"/>
              </w:rPr>
              <w:t>Accept or refute a section's score</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r>
        <w:tc>
          <w:tcPr>
            <w:tcW w:type="dxa" w:w="1159"/>
            <w:tcBorders>
              <w:bottom w:val="single" w:sz="6" w:space="4" w:color="D8DCE3"/>
            </w:tcBorders>
          </w:tcPr>
          <w:p>
            <w:pPr>
              <w:spacing w:after="60"/>
            </w:pPr>
            <w:r/>
            <w:r>
              <w:rPr>
                <w:rFonts w:ascii="Georgia" w:hAnsi="Georgia"/>
                <w:sz w:val="18"/>
              </w:rPr>
              <w:t>TR-015</w:t>
            </w:r>
          </w:p>
        </w:tc>
        <w:tc>
          <w:tcPr>
            <w:tcW w:type="dxa" w:w="2754"/>
            <w:tcBorders>
              <w:bottom w:val="single" w:sz="6" w:space="4" w:color="D8DCE3"/>
            </w:tcBorders>
          </w:tcPr>
          <w:p>
            <w:pPr>
              <w:spacing w:after="60"/>
            </w:pPr>
            <w:r/>
            <w:r>
              <w:rPr>
                <w:rFonts w:ascii="Georgia" w:hAnsi="Georgia"/>
                <w:sz w:val="18"/>
              </w:rPr>
              <w:t>Turn off a set's outbound domain research</w:t>
            </w:r>
          </w:p>
        </w:tc>
        <w:tc>
          <w:tcPr>
            <w:tcW w:type="dxa" w:w="1203"/>
            <w:tcBorders>
              <w:bottom w:val="single" w:sz="6" w:space="4" w:color="D8DCE3"/>
            </w:tcBorders>
          </w:tcPr>
          <w:p>
            <w:pPr>
              <w:spacing w:after="60"/>
            </w:pPr>
            <w:r/>
            <w:r>
              <w:rPr>
                <w:rFonts w:ascii="Georgia" w:hAnsi="Georgia"/>
                <w:sz w:val="18"/>
              </w:rPr>
              <w:t>PER-001</w:t>
            </w:r>
          </w:p>
        </w:tc>
        <w:tc>
          <w:tcPr>
            <w:tcW w:type="dxa" w:w="1823"/>
            <w:tcBorders>
              <w:bottom w:val="single" w:sz="6" w:space="4" w:color="D8DCE3"/>
            </w:tcBorders>
          </w:tcPr>
          <w:p>
            <w:pPr>
              <w:spacing w:after="60"/>
            </w:pPr>
            <w:r/>
            <w:r>
              <w:rPr>
                <w:rFonts w:ascii="Georgia" w:hAnsi="Georgia"/>
                <w:sz w:val="18"/>
              </w:rPr>
              <w:t>no</w:t>
            </w:r>
          </w:p>
        </w:tc>
        <w:tc>
          <w:tcPr>
            <w:tcW w:type="dxa" w:w="1557"/>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 development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TR-015 was added at version 0.12.0. It settles a conflict between the domain check and NFR-008: the domain check researches the domain by default, because a citation it cannot confirm is worth less to the expert. The expert can turn it off for one set, and an organization's own policy can forbid it for every set. NFR-008 and A-005 now state that default.</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fifteen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bookmarkStart w:id="96" w:name="TR_001"/>
      <w:r>
        <w:rPr>
          <w:rFonts w:ascii="Calibri" w:hAnsi="Calibri"/>
          <w:b/>
          <w:color w:val="1F4E79"/>
          <w:sz w:val="20"/>
        </w:rPr>
        <w:t xml:space="preserve">TR-001  </w:t>
      </w:r>
      <w:r>
        <w:rPr>
          <w:rFonts w:ascii="Calibri" w:hAnsi="Calibri"/>
          <w:b/>
          <w:sz w:val="20"/>
        </w:rPr>
        <w:t>Approve a PRD for a release</w:t>
      </w:r>
      <w:bookmarkEnd w:id="9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requirement, or review comment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bookmarkStart w:id="97" w:name="TR_002"/>
      <w:r>
        <w:rPr>
          <w:rFonts w:ascii="Calibri" w:hAnsi="Calibri"/>
          <w:b/>
          <w:color w:val="1F4E79"/>
          <w:sz w:val="20"/>
        </w:rPr>
        <w:t xml:space="preserve">TR-002  </w:t>
      </w:r>
      <w:r>
        <w:rPr>
          <w:rFonts w:ascii="Calibri" w:hAnsi="Calibri"/>
          <w:b/>
          <w:sz w:val="20"/>
        </w:rPr>
        <w:t>Set a section's state to final</w:t>
      </w:r>
      <w:bookmarkEnd w:id="9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bookmarkStart w:id="98" w:name="TR_003"/>
      <w:r>
        <w:rPr>
          <w:rFonts w:ascii="Calibri" w:hAnsi="Calibri"/>
          <w:b/>
          <w:color w:val="1F4E79"/>
          <w:sz w:val="20"/>
        </w:rPr>
        <w:t xml:space="preserve">TR-003  </w:t>
      </w:r>
      <w:r>
        <w:rPr>
          <w:rFonts w:ascii="Calibri" w:hAnsi="Calibri"/>
          <w:b/>
          <w:sz w:val="20"/>
        </w:rPr>
        <w:t>Produce a section's score and findings against its rubric</w:t>
      </w:r>
      <w:bookmarkEnd w:id="9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bookmarkStart w:id="99" w:name="TR_004"/>
      <w:r>
        <w:rPr>
          <w:rFonts w:ascii="Calibri" w:hAnsi="Calibri"/>
          <w:b/>
          <w:color w:val="1F4E79"/>
          <w:sz w:val="20"/>
        </w:rPr>
        <w:t xml:space="preserve">TR-004  </w:t>
      </w:r>
      <w:r>
        <w:rPr>
          <w:rFonts w:ascii="Calibri" w:hAnsi="Calibri"/>
          <w:b/>
          <w:sz w:val="20"/>
        </w:rPr>
        <w:t>Decide what the product is for and what is out of scope</w:t>
      </w:r>
      <w:bookmarkEnd w:id="9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bookmarkStart w:id="100" w:name="TR_005"/>
      <w:r>
        <w:rPr>
          <w:rFonts w:ascii="Calibri" w:hAnsi="Calibri"/>
          <w:b/>
          <w:color w:val="1F4E79"/>
          <w:sz w:val="20"/>
        </w:rPr>
        <w:t xml:space="preserve">TR-005  </w:t>
      </w:r>
      <w:r>
        <w:rPr>
          <w:rFonts w:ascii="Calibri" w:hAnsi="Calibri"/>
          <w:b/>
          <w:sz w:val="20"/>
        </w:rPr>
        <w:t>State a domain fact, figure, regulation or citation as true</w:t>
      </w:r>
      <w:bookmarkEnd w:id="10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bookmarkStart w:id="101" w:name="TR_006"/>
      <w:r>
        <w:rPr>
          <w:rFonts w:ascii="Calibri" w:hAnsi="Calibri"/>
          <w:b/>
          <w:color w:val="1F4E79"/>
          <w:sz w:val="20"/>
        </w:rPr>
        <w:t xml:space="preserve">TR-006  </w:t>
      </w:r>
      <w:r>
        <w:rPr>
          <w:rFonts w:ascii="Calibri" w:hAnsi="Calibri"/>
          <w:b/>
          <w:sz w:val="20"/>
        </w:rPr>
        <w:t>Judge whether a set can be built from, and report the gaps</w:t>
      </w:r>
      <w:bookmarkEnd w:id="10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bookmarkStart w:id="102" w:name="TR_007"/>
      <w:r>
        <w:rPr>
          <w:rFonts w:ascii="Calibri" w:hAnsi="Calibri"/>
          <w:b/>
          <w:color w:val="1F4E79"/>
          <w:sz w:val="20"/>
        </w:rPr>
        <w:t xml:space="preserve">TR-007  </w:t>
      </w:r>
      <w:r>
        <w:rPr>
          <w:rFonts w:ascii="Calibri" w:hAnsi="Calibri"/>
          <w:b/>
          <w:sz w:val="20"/>
        </w:rPr>
        <w:t>Decide the domain's own terms, and what each one means</w:t>
      </w:r>
      <w:bookmarkEnd w:id="10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bookmarkStart w:id="103" w:name="TR_008"/>
      <w:r>
        <w:rPr>
          <w:rFonts w:ascii="Calibri" w:hAnsi="Calibri"/>
          <w:b/>
          <w:color w:val="1F4E79"/>
          <w:sz w:val="20"/>
        </w:rPr>
        <w:t xml:space="preserve">TR-008  </w:t>
      </w:r>
      <w:r>
        <w:rPr>
          <w:rFonts w:ascii="Calibri" w:hAnsi="Calibri"/>
          <w:b/>
          <w:sz w:val="20"/>
        </w:rPr>
        <w:t>Decide the interview on a section is finished</w:t>
      </w:r>
      <w:bookmarkEnd w:id="10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bookmarkStart w:id="104" w:name="TR_009"/>
      <w:r>
        <w:rPr>
          <w:rFonts w:ascii="Calibri" w:hAnsi="Calibri"/>
          <w:b/>
          <w:color w:val="1F4E79"/>
          <w:sz w:val="20"/>
        </w:rPr>
        <w:t xml:space="preserve">TR-009  </w:t>
      </w:r>
      <w:r>
        <w:rPr>
          <w:rFonts w:ascii="Calibri" w:hAnsi="Calibri"/>
          <w:b/>
          <w:sz w:val="20"/>
        </w:rPr>
        <w:t>Decide a section may be left at draft and moved on from</w:t>
      </w:r>
      <w:bookmarkEnd w:id="10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bookmarkStart w:id="105" w:name="TR_010"/>
      <w:r>
        <w:rPr>
          <w:rFonts w:ascii="Calibri" w:hAnsi="Calibri"/>
          <w:b/>
          <w:color w:val="1F4E79"/>
          <w:sz w:val="20"/>
        </w:rPr>
        <w:t xml:space="preserve">TR-010  </w:t>
      </w:r>
      <w:r>
        <w:rPr>
          <w:rFonts w:ascii="Calibri" w:hAnsi="Calibri"/>
          <w:b/>
          <w:sz w:val="20"/>
        </w:rPr>
        <w:t>Decide the set may be offered for approval</w:t>
      </w:r>
      <w:bookmarkEnd w:id="10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bookmarkStart w:id="106" w:name="TR_011"/>
      <w:r>
        <w:rPr>
          <w:rFonts w:ascii="Calibri" w:hAnsi="Calibri"/>
          <w:b/>
          <w:color w:val="1F4E79"/>
          <w:sz w:val="20"/>
        </w:rPr>
        <w:t xml:space="preserve">TR-011  </w:t>
      </w:r>
      <w:r>
        <w:rPr>
          <w:rFonts w:ascii="Calibri" w:hAnsi="Calibri"/>
          <w:b/>
          <w:sz w:val="20"/>
        </w:rPr>
        <w:t>Decide a backlog can be mapped from the set</w:t>
      </w:r>
      <w:bookmarkEnd w:id="10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bookmarkStart w:id="107" w:name="TR_012"/>
      <w:r>
        <w:rPr>
          <w:rFonts w:ascii="Calibri" w:hAnsi="Calibri"/>
          <w:b/>
          <w:color w:val="1F4E79"/>
          <w:sz w:val="20"/>
        </w:rPr>
        <w:t xml:space="preserve">TR-012  </w:t>
      </w:r>
      <w:r>
        <w:rPr>
          <w:rFonts w:ascii="Calibri" w:hAnsi="Calibri"/>
          <w:b/>
          <w:sz w:val="20"/>
        </w:rPr>
        <w:t>Decide which epics come first</w:t>
      </w:r>
      <w:bookmarkEnd w:id="10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bookmarkStart w:id="108" w:name="TR_013"/>
      <w:r>
        <w:rPr>
          <w:rFonts w:ascii="Calibri" w:hAnsi="Calibri"/>
          <w:b/>
          <w:color w:val="1F4E79"/>
          <w:sz w:val="20"/>
        </w:rPr>
        <w:t xml:space="preserve">TR-013  </w:t>
      </w:r>
      <w:r>
        <w:rPr>
          <w:rFonts w:ascii="Calibri" w:hAnsi="Calibri"/>
          <w:b/>
          <w:sz w:val="20"/>
        </w:rPr>
        <w:t>Accept a drafted section as saying what the expert meant, or correct it</w:t>
      </w:r>
      <w:bookmarkEnd w:id="10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bookmarkStart w:id="109" w:name="TR_014"/>
      <w:r>
        <w:rPr>
          <w:rFonts w:ascii="Calibri" w:hAnsi="Calibri"/>
          <w:b/>
          <w:color w:val="1F4E79"/>
          <w:sz w:val="20"/>
        </w:rPr>
        <w:t xml:space="preserve">TR-014  </w:t>
      </w:r>
      <w:r>
        <w:rPr>
          <w:rFonts w:ascii="Calibri" w:hAnsi="Calibri"/>
          <w:b/>
          <w:sz w:val="20"/>
        </w:rPr>
        <w:t>Accept or refute a section's score</w:t>
      </w:r>
      <w:bookmarkEnd w:id="10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pPr>
        <w:keepNext/>
        <w:spacing w:before="220" w:after="60"/>
        <w:ind w:left="115"/>
        <w:pBdr>
          <w:left w:val="single" w:sz="18" w:space="0" w:color="1F4E79"/>
        </w:pBdr>
      </w:pPr>
      <w:bookmarkStart w:id="110" w:name="TR_015"/>
      <w:r>
        <w:rPr>
          <w:rFonts w:ascii="Calibri" w:hAnsi="Calibri"/>
          <w:b/>
          <w:color w:val="1F4E79"/>
          <w:sz w:val="20"/>
        </w:rPr>
        <w:t xml:space="preserve">TR-015  </w:t>
      </w:r>
      <w:r>
        <w:rPr>
          <w:rFonts w:ascii="Calibri" w:hAnsi="Calibri"/>
          <w:b/>
          <w:sz w:val="20"/>
        </w:rPr>
        <w:t>Turn off a set's outbound domain research</w:t>
      </w:r>
      <w:bookmarkEnd w:id="11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Delegable to an agent</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domain check sends out by default: the names of standards, terms of art, and the domain, and never the set's text or the expert's answers.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While the expert has not decided, research stays on, carrying only the names of standards, terms of art, and the domain. Nobody turns it off or on for one set on the expert's behalf. An organization's own policy that forbids outbound research is a rule from outside the product, not a decision in it: the domain check obeys that rule for every set, and no decision of the expert overrides it.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whose expert has turned off its outbound domain research, when a section is graded, then the domain check makes no outbound request, and marks each citation it cannot confirm from the set as unverified.</w:t>
            </w:r>
          </w:p>
          <w:p>
            <w:pPr>
              <w:spacing w:after="40"/>
              <w:ind w:left="173"/>
            </w:pPr>
            <w:r>
              <w:rPr>
                <w:rFonts w:ascii="Georgia" w:hAnsi="Georgia"/>
                <w:sz w:val="19"/>
              </w:rPr>
              <w:t>• Given a set whose expert has made no choice, when a section is graded, then the domain check may research the domain's standards and terms, and no query it sends holds the set's text or the expert's answers.</w:t>
            </w:r>
          </w:p>
          <w:p>
            <w:pPr>
              <w:spacing w:after="40"/>
              <w:ind w:left="173"/>
            </w:pPr>
            <w:r>
              <w:rPr>
                <w:rFonts w:ascii="Georgia" w:hAnsi="Georgia"/>
                <w:sz w:val="19"/>
              </w:rPr>
              <w:t>• Given an organization whose policy forbids outbound research, when any set is graded, then the domain check makes no outbound request, whatever the expert has decided for the set.</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bookmarkStart w:id="111" w:name="prd_forge_assumptions_risks_dependencies"/>
      <w:r>
        <w:t>Assumptions, risks and dependencies</w:t>
      </w:r>
      <w:bookmarkEnd w:id="111"/>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bookmarkStart w:id="112" w:name="A_001"/>
      <w:r>
        <w:rPr>
          <w:rFonts w:ascii="Calibri" w:hAnsi="Calibri"/>
          <w:b/>
          <w:color w:val="1F4E79"/>
          <w:sz w:val="20"/>
        </w:rPr>
        <w:t>A-001</w:t>
      </w:r>
      <w:bookmarkEnd w:id="1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3" w:name="A_002"/>
      <w:r>
        <w:rPr>
          <w:rFonts w:ascii="Calibri" w:hAnsi="Calibri"/>
          <w:b/>
          <w:color w:val="1F4E79"/>
          <w:sz w:val="20"/>
        </w:rPr>
        <w:t xml:space="preserve">A-002  </w:t>
      </w:r>
      <w:r>
        <w:rPr>
          <w:rFonts w:ascii="Calibri" w:hAnsi="Calibri"/>
          <w:b/>
          <w:sz w:val="20"/>
        </w:rPr>
        <w:t>An expert will act on a grade they did not produce, rather than dismissing it.</w:t>
      </w:r>
      <w:bookmarkEnd w:id="1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4" w:name="A_003"/>
      <w:r>
        <w:rPr>
          <w:rFonts w:ascii="Calibri" w:hAnsi="Calibri"/>
          <w:b/>
          <w:color w:val="1F4E79"/>
          <w:sz w:val="20"/>
        </w:rPr>
        <w:t>A-003</w:t>
      </w:r>
      <w:bookmarkEnd w:id="1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5" w:name="A_004"/>
      <w:r>
        <w:rPr>
          <w:rFonts w:ascii="Calibri" w:hAnsi="Calibri"/>
          <w:b/>
          <w:color w:val="1F4E79"/>
          <w:sz w:val="20"/>
        </w:rPr>
        <w:t xml:space="preserve">A-004  </w:t>
      </w:r>
      <w:r>
        <w:rPr>
          <w:rFonts w:ascii="Calibri" w:hAnsi="Calibri"/>
          <w:b/>
          <w:sz w:val="20"/>
        </w:rPr>
        <w:t>Organizations will let a PRD for their product be drafted inside an assistant session.</w:t>
      </w:r>
      <w:bookmarkEnd w:id="1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bookmarkStart w:id="116" w:name="A_005"/>
      <w:r>
        <w:rPr>
          <w:rFonts w:ascii="Calibri" w:hAnsi="Calibri"/>
          <w:b/>
          <w:color w:val="1F4E79"/>
          <w:sz w:val="20"/>
        </w:rPr>
        <w:t>A-005</w:t>
      </w:r>
      <w:bookmarkEnd w:id="1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 They also accept the domain check's research, on by default, which sends only the names of standards, terms of art, and the domain, or they turn it off under TR-015.</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bookmarkStart w:id="117" w:name="R_001"/>
      <w:r>
        <w:rPr>
          <w:rFonts w:ascii="Calibri" w:hAnsi="Calibri"/>
          <w:b/>
          <w:color w:val="1F4E79"/>
          <w:sz w:val="20"/>
        </w:rPr>
        <w:t>R-001</w:t>
      </w:r>
      <w:bookmarkEnd w:id="1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8" w:name="R_002"/>
      <w:r>
        <w:rPr>
          <w:rFonts w:ascii="Calibri" w:hAnsi="Calibri"/>
          <w:b/>
          <w:color w:val="1F4E79"/>
          <w:sz w:val="20"/>
        </w:rPr>
        <w:t>R-002</w:t>
      </w:r>
      <w:bookmarkEnd w:id="1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9" w:name="R_003"/>
      <w:r>
        <w:rPr>
          <w:rFonts w:ascii="Calibri" w:hAnsi="Calibri"/>
          <w:b/>
          <w:color w:val="1F4E79"/>
          <w:sz w:val="20"/>
        </w:rPr>
        <w:t>R-003</w:t>
      </w:r>
      <w:bookmarkEnd w:id="1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20" w:name="R_004"/>
      <w:r>
        <w:rPr>
          <w:rFonts w:ascii="Calibri" w:hAnsi="Calibri"/>
          <w:b/>
          <w:color w:val="1F4E79"/>
          <w:sz w:val="20"/>
        </w:rPr>
        <w:t>R-004</w:t>
      </w:r>
      <w:bookmarkEnd w:id="1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21" w:name="R_005"/>
      <w:r>
        <w:rPr>
          <w:rFonts w:ascii="Calibri" w:hAnsi="Calibri"/>
          <w:b/>
          <w:color w:val="1F4E79"/>
          <w:sz w:val="20"/>
        </w:rPr>
        <w:t>R-005</w:t>
      </w:r>
      <w:bookmarkEnd w:id="1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bookmarkStart w:id="122" w:name="D_001"/>
      <w:r>
        <w:rPr>
          <w:rFonts w:ascii="Calibri" w:hAnsi="Calibri"/>
          <w:b/>
          <w:color w:val="1F4E79"/>
          <w:sz w:val="20"/>
        </w:rPr>
        <w:t>D-001</w:t>
      </w:r>
      <w:bookmarkEnd w:id="12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bookmarkStart w:id="123" w:name="D_002"/>
      <w:r>
        <w:rPr>
          <w:rFonts w:ascii="Calibri" w:hAnsi="Calibri"/>
          <w:b/>
          <w:color w:val="1F4E79"/>
          <w:sz w:val="20"/>
        </w:rPr>
        <w:t xml:space="preserve">D-002  </w:t>
      </w:r>
      <w:r>
        <w:rPr>
          <w:rFonts w:ascii="Calibri" w:hAnsi="Calibri"/>
          <w:b/>
          <w:sz w:val="20"/>
        </w:rPr>
        <w:t>Ten first-time domain experts willing to be observed completing a PRD.</w:t>
      </w:r>
      <w:bookmarkEnd w:id="1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bookmarkStart w:id="124" w:name="D_003"/>
      <w:r>
        <w:rPr>
          <w:rFonts w:ascii="Calibri" w:hAnsi="Calibri"/>
          <w:b/>
          <w:color w:val="1F4E79"/>
          <w:sz w:val="20"/>
        </w:rPr>
        <w:t>D-003</w:t>
      </w:r>
      <w:bookmarkEnd w:id="1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bookmarkStart w:id="125" w:name="prd_forge_open_questions"/>
      <w:r>
        <w:t>Open questions</w:t>
      </w:r>
      <w:bookmarkEnd w:id="125"/>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bookmarkStart w:id="126" w:name="Q_001"/>
      <w:r>
        <w:rPr>
          <w:rFonts w:ascii="Calibri" w:hAnsi="Calibri"/>
          <w:b/>
          <w:color w:val="1F4E79"/>
          <w:sz w:val="20"/>
        </w:rPr>
        <w:t>Q-001</w:t>
      </w:r>
      <w:bookmarkEnd w:id="1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bookmarkStart w:id="127" w:name="Q_002"/>
      <w:r>
        <w:rPr>
          <w:rFonts w:ascii="Calibri" w:hAnsi="Calibri"/>
          <w:b/>
          <w:color w:val="1F4E79"/>
          <w:sz w:val="20"/>
        </w:rPr>
        <w:t>Q-002</w:t>
      </w:r>
      <w:bookmarkEnd w:id="1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bookmarkStart w:id="128" w:name="Q_003"/>
      <w:r>
        <w:rPr>
          <w:rFonts w:ascii="Calibri" w:hAnsi="Calibri"/>
          <w:b/>
          <w:color w:val="1F4E79"/>
          <w:sz w:val="20"/>
        </w:rPr>
        <w:t>Q-003</w:t>
      </w:r>
      <w:bookmarkEnd w:id="1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bookmarkStart w:id="129" w:name="Q_004"/>
      <w:r>
        <w:rPr>
          <w:rFonts w:ascii="Calibri" w:hAnsi="Calibri"/>
          <w:b/>
          <w:color w:val="1F4E79"/>
          <w:sz w:val="20"/>
        </w:rPr>
        <w:t xml:space="preserve">Q-004  </w:t>
      </w:r>
      <w:r>
        <w:rPr>
          <w:rFonts w:ascii="Calibri" w:hAnsi="Calibri"/>
          <w:b/>
          <w:sz w:val="20"/>
        </w:rPr>
        <w:t>How many organizations are in each segment in section 2?</w:t>
      </w:r>
      <w:bookmarkEnd w:id="1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bookmarkStart w:id="130" w:name="Q_005"/>
      <w:r>
        <w:rPr>
          <w:rFonts w:ascii="Calibri" w:hAnsi="Calibri"/>
          <w:b/>
          <w:color w:val="1F4E79"/>
          <w:sz w:val="20"/>
        </w:rPr>
        <w:t>Q-005</w:t>
      </w:r>
      <w:bookmarkEnd w:id="1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bookmarkStart w:id="131" w:name="Q_006"/>
      <w:r>
        <w:rPr>
          <w:rFonts w:ascii="Calibri" w:hAnsi="Calibri"/>
          <w:b/>
          <w:color w:val="1F4E79"/>
          <w:sz w:val="20"/>
        </w:rPr>
        <w:t xml:space="preserve">Q-006  </w:t>
      </w:r>
      <w:r>
        <w:rPr>
          <w:rFonts w:ascii="Calibri" w:hAnsi="Calibri"/>
          <w:b/>
          <w:sz w:val="20"/>
        </w:rPr>
        <w:t>How many sections does an expert complete in one sitting before stopping?</w:t>
      </w:r>
      <w:bookmarkEnd w:id="1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32" w:name="Q_007"/>
      <w:r>
        <w:rPr>
          <w:rFonts w:ascii="Calibri" w:hAnsi="Calibri"/>
          <w:b/>
          <w:color w:val="1F4E79"/>
          <w:sz w:val="20"/>
        </w:rPr>
        <w:t xml:space="preserve">Q-007  </w:t>
      </w:r>
      <w:r>
        <w:rPr>
          <w:rFonts w:ascii="Calibri" w:hAnsi="Calibri"/>
          <w:b/>
          <w:sz w:val="20"/>
        </w:rPr>
        <w:t>Does writing the requirements send an expert back to the journeys?</w:t>
      </w:r>
      <w:bookmarkEnd w:id="1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bookmarkStart w:id="133" w:name="Q_008"/>
      <w:r>
        <w:rPr>
          <w:rFonts w:ascii="Calibri" w:hAnsi="Calibri"/>
          <w:b/>
          <w:color w:val="1F4E79"/>
          <w:sz w:val="20"/>
        </w:rPr>
        <w:t>Q-008</w:t>
      </w:r>
      <w:bookmarkEnd w:id="1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bookmarkStart w:id="134" w:name="Q_009"/>
      <w:r>
        <w:rPr>
          <w:rFonts w:ascii="Calibri" w:hAnsi="Calibri"/>
          <w:b/>
          <w:color w:val="1F4E79"/>
          <w:sz w:val="20"/>
        </w:rPr>
        <w:t>Q-009</w:t>
      </w:r>
      <w:bookmarkEnd w:id="1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bookmarkStart w:id="135" w:name="Q_010"/>
      <w:r>
        <w:rPr>
          <w:rFonts w:ascii="Calibri" w:hAnsi="Calibri"/>
          <w:b/>
          <w:color w:val="1F4E79"/>
          <w:sz w:val="20"/>
        </w:rPr>
        <w:t>Q-010</w:t>
      </w:r>
      <w:bookmarkEnd w:id="1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bookmarkStart w:id="136" w:name="Q_011"/>
      <w:r>
        <w:rPr>
          <w:rFonts w:ascii="Calibri" w:hAnsi="Calibri"/>
          <w:b/>
          <w:color w:val="1F4E79"/>
          <w:sz w:val="20"/>
        </w:rPr>
        <w:t>Q-011</w:t>
      </w:r>
      <w:bookmarkEnd w:id="1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bookmarkStart w:id="137" w:name="Q_012"/>
      <w:r>
        <w:rPr>
          <w:rFonts w:ascii="Calibri" w:hAnsi="Calibri"/>
          <w:b/>
          <w:color w:val="1F4E79"/>
          <w:sz w:val="20"/>
        </w:rPr>
        <w:t xml:space="preserve">Q-012  </w:t>
      </w:r>
      <w:r>
        <w:rPr>
          <w:rFonts w:ascii="Calibri" w:hAnsi="Calibri"/>
          <w:b/>
          <w:sz w:val="20"/>
        </w:rPr>
        <w:t>Which segment in section 2 converts first?</w:t>
      </w:r>
      <w:bookmarkEnd w:id="1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bookmarkStart w:id="138" w:name="Q_013"/>
      <w:r>
        <w:rPr>
          <w:rFonts w:ascii="Calibri" w:hAnsi="Calibri"/>
          <w:b/>
          <w:color w:val="1F4E79"/>
          <w:sz w:val="20"/>
        </w:rPr>
        <w:t xml:space="preserve">Q-013  </w:t>
      </w:r>
      <w:r>
        <w:rPr>
          <w:rFonts w:ascii="Calibri" w:hAnsi="Calibri"/>
          <w:b/>
          <w:sz w:val="20"/>
        </w:rPr>
        <w:t>What day rate does a buyer pay to contract a product manager for the writing of one set?</w:t>
      </w:r>
      <w:bookmarkEnd w:id="1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bookmarkStart w:id="139" w:name="Q_014"/>
      <w:r>
        <w:rPr>
          <w:rFonts w:ascii="Calibri" w:hAnsi="Calibri"/>
          <w:b/>
          <w:color w:val="1F4E79"/>
          <w:sz w:val="20"/>
        </w:rPr>
        <w:t>Q-014</w:t>
      </w:r>
      <w:bookmarkEnd w:id="1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40" w:name="Q_015"/>
      <w:r>
        <w:rPr>
          <w:rFonts w:ascii="Calibri" w:hAnsi="Calibri"/>
          <w:b/>
          <w:color w:val="1F4E79"/>
          <w:sz w:val="20"/>
        </w:rPr>
        <w:t xml:space="preserve">Q-015  </w:t>
      </w:r>
      <w:r>
        <w:rPr>
          <w:rFonts w:ascii="Calibri" w:hAnsi="Calibri"/>
          <w:b/>
          <w:sz w:val="20"/>
        </w:rPr>
        <w:t>Who owns the rubric and the eleven derivability checks?</w:t>
      </w:r>
      <w:bookmarkEnd w:id="1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bookmarkStart w:id="141" w:name="Q_016"/>
      <w:r>
        <w:rPr>
          <w:rFonts w:ascii="Calibri" w:hAnsi="Calibri"/>
          <w:b/>
          <w:color w:val="1F4E79"/>
          <w:sz w:val="20"/>
        </w:rPr>
        <w:t xml:space="preserve">Q-016  </w:t>
      </w:r>
      <w:r>
        <w:rPr>
          <w:rFonts w:ascii="Calibri" w:hAnsi="Calibri"/>
          <w:b/>
          <w:sz w:val="20"/>
        </w:rPr>
        <w:t>Must a grade show which version of the rubric it was made against?</w:t>
      </w:r>
      <w:bookmarkEnd w:id="1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bookmarkStart w:id="142" w:name="Q_017"/>
      <w:r>
        <w:rPr>
          <w:rFonts w:ascii="Calibri" w:hAnsi="Calibri"/>
          <w:b/>
          <w:color w:val="1F4E79"/>
          <w:sz w:val="20"/>
        </w:rPr>
        <w:t>Q-017</w:t>
      </w:r>
      <w:bookmarkEnd w:id="1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3" w:name="Q_018"/>
      <w:r>
        <w:rPr>
          <w:rFonts w:ascii="Calibri" w:hAnsi="Calibri"/>
          <w:b/>
          <w:color w:val="1F4E79"/>
          <w:sz w:val="20"/>
        </w:rPr>
        <w:t xml:space="preserve">Q-018  </w:t>
      </w:r>
      <w:r>
        <w:rPr>
          <w:rFonts w:ascii="Calibri" w:hAnsi="Calibri"/>
          <w:b/>
          <w:sz w:val="20"/>
        </w:rPr>
        <w:t>What does each problem in section 1 cost, as one counted case per problem?</w:t>
      </w:r>
      <w:bookmarkEnd w:id="1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bookmarkStart w:id="144" w:name="Q_019"/>
      <w:r>
        <w:rPr>
          <w:rFonts w:ascii="Calibri" w:hAnsi="Calibri"/>
          <w:b/>
          <w:color w:val="1F4E79"/>
          <w:sz w:val="20"/>
        </w:rPr>
        <w:t>Q-019</w:t>
      </w:r>
      <w:bookmarkEnd w:id="1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bookmarkStart w:id="145" w:name="Q_020"/>
      <w:r>
        <w:rPr>
          <w:rFonts w:ascii="Calibri" w:hAnsi="Calibri"/>
          <w:b/>
          <w:color w:val="1F4E79"/>
          <w:sz w:val="20"/>
        </w:rPr>
        <w:t xml:space="preserve">Q-020  </w:t>
      </w:r>
      <w:r>
        <w:rPr>
          <w:rFonts w:ascii="Calibri" w:hAnsi="Calibri"/>
          <w:b/>
          <w:sz w:val="20"/>
        </w:rPr>
        <w:t>Which section do experts stop at most often?</w:t>
      </w:r>
      <w:bookmarkEnd w:id="1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46" w:name="Q_021"/>
      <w:r>
        <w:rPr>
          <w:rFonts w:ascii="Calibri" w:hAnsi="Calibri"/>
          <w:b/>
          <w:color w:val="1F4E79"/>
          <w:sz w:val="20"/>
        </w:rPr>
        <w:t>Q-021</w:t>
      </w:r>
      <w:bookmarkEnd w:id="1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7" w:name="Q_022"/>
      <w:r>
        <w:rPr>
          <w:rFonts w:ascii="Calibri" w:hAnsi="Calibri"/>
          <w:b/>
          <w:color w:val="1F4E79"/>
          <w:sz w:val="20"/>
        </w:rPr>
        <w:t xml:space="preserve">Q-022  </w:t>
      </w:r>
      <w:r>
        <w:rPr>
          <w:rFonts w:ascii="Calibri" w:hAnsi="Calibri"/>
          <w:b/>
          <w:sz w:val="20"/>
        </w:rPr>
        <w:t>If D-002 or D-003 reports after 2027-01-31, does REL-001 move or ship as an experiment?</w:t>
      </w:r>
      <w:bookmarkEnd w:id="1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bookmarkStart w:id="148" w:name="Q_023"/>
      <w:r>
        <w:rPr>
          <w:rFonts w:ascii="Calibri" w:hAnsi="Calibri"/>
          <w:b/>
          <w:color w:val="1F4E79"/>
          <w:sz w:val="20"/>
        </w:rPr>
        <w:t>Q-023</w:t>
      </w:r>
      <w:bookmarkEnd w:id="1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bookmarkStart w:id="149" w:name="prd_forge_release_plan"/>
      <w:r>
        <w:t>Release plan</w:t>
      </w:r>
      <w:bookmarkEnd w:id="149"/>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7" name="Picture 37"/>
            <wp:cNvGraphicFramePr>
              <a:graphicFrameLocks noChangeAspect="1"/>
            </wp:cNvGraphicFramePr>
            <a:graphic>
              <a:graphicData uri="http://schemas.openxmlformats.org/drawingml/2006/picture">
                <pic:pic>
                  <pic:nvPicPr>
                    <pic:cNvPr id="0" name="release-line.png"/>
                    <pic:cNvPicPr/>
                  </pic:nvPicPr>
                  <pic:blipFill>
                    <a:blip r:embed="rId35"/>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It starts when OUT-002's condition holds: three real engagements have each reached an approved set that passed the buildability review on first submission. Building for two authors before one is proven would be building on A-001 and A-002 before either is tested. A sponsor can already comment on an exported copy in REL-001, under FR-022. REL-003 adds comments inside the set, by a reviewer who does not hold the pen, which OUT-005 defers.</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bookmarkStart w:id="150" w:name="REL_001"/>
      <w:r>
        <w:rPr>
          <w:rFonts w:ascii="Calibri" w:hAnsi="Calibri"/>
          <w:b/>
          <w:color w:val="1F4E79"/>
          <w:sz w:val="20"/>
        </w:rPr>
        <w:t xml:space="preserve">REL-001  </w:t>
      </w:r>
      <w:r>
        <w:rPr>
          <w:rFonts w:ascii="Calibri" w:hAnsi="Calibri"/>
          <w:b/>
          <w:sz w:val="20"/>
        </w:rPr>
        <w:t>Single-expert PRD authoring</w:t>
      </w:r>
      <w:bookmarkEnd w:id="1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reading, comments, and decision at ST-006 happen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51" w:name="REL_002"/>
      <w:r>
        <w:rPr>
          <w:rFonts w:ascii="Calibri" w:hAnsi="Calibri"/>
          <w:b/>
          <w:color w:val="1F4E79"/>
          <w:sz w:val="20"/>
        </w:rPr>
        <w:t xml:space="preserve">REL-002  </w:t>
      </w:r>
      <w:r>
        <w:rPr>
          <w:rFonts w:ascii="Calibri" w:hAnsi="Calibri"/>
          <w:b/>
          <w:sz w:val="20"/>
        </w:rPr>
        <w:t>Backlog derivation</w:t>
      </w:r>
      <w:bookmarkEnd w:id="1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52" w:name="REL_003"/>
      <w:r>
        <w:rPr>
          <w:rFonts w:ascii="Calibri" w:hAnsi="Calibri"/>
          <w:b/>
          <w:color w:val="1F4E79"/>
          <w:sz w:val="20"/>
        </w:rPr>
        <w:t xml:space="preserve">REL-003  </w:t>
      </w:r>
      <w:r>
        <w:rPr>
          <w:rFonts w:ascii="Calibri" w:hAnsi="Calibri"/>
          <w:b/>
          <w:sz w:val="20"/>
        </w:rPr>
        <w:t>More than one author</w:t>
      </w:r>
      <w:bookmarkEnd w:id="1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inside the set, not on an exported copy,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bookmarkStart w:id="153" w:name="prd_forge_glossary"/>
      <w:r>
        <w:t>Glossary</w:t>
      </w:r>
      <w:bookmarkEnd w:id="153"/>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Bet</w:t>
            </w:r>
          </w:p>
        </w:tc>
        <w:tc>
          <w:tcPr>
            <w:tcW w:type="dxa" w:w="5249"/>
            <w:tcBorders>
              <w:bottom w:val="single" w:sz="6" w:space="4" w:color="D8DCE3"/>
            </w:tcBorders>
          </w:tcPr>
          <w:p>
            <w:pPr>
              <w:spacing w:after="60"/>
            </w:pPr>
            <w:r/>
            <w:r>
              <w:rPr>
                <w:rFonts w:ascii="Georgia" w:hAnsi="Georgia"/>
                <w:sz w:val="18"/>
              </w:rPr>
              <w:t>An objective</w:t>
            </w:r>
          </w:p>
        </w:tc>
      </w:tr>
      <w:tr>
        <w:tc>
          <w:tcPr>
            <w:tcW w:type="dxa" w:w="3766"/>
            <w:tcBorders>
              <w:bottom w:val="single" w:sz="6" w:space="4" w:color="D8DCE3"/>
            </w:tcBorders>
          </w:tcPr>
          <w:p>
            <w:pPr>
              <w:spacing w:after="60"/>
            </w:pPr>
            <w:r/>
            <w:r>
              <w:rPr>
                <w:rFonts w:ascii="Georgia" w:hAnsi="Georgia"/>
                <w:sz w:val="18"/>
              </w:rPr>
              <w:t>Buildable</w:t>
            </w:r>
          </w:p>
        </w:tc>
        <w:tc>
          <w:tcPr>
            <w:tcW w:type="dxa" w:w="5249"/>
            <w:tcBorders>
              <w:bottom w:val="single" w:sz="6" w:space="4" w:color="D8DCE3"/>
            </w:tcBorders>
          </w:tcPr>
          <w:p>
            <w:pPr>
              <w:spacing w:after="60"/>
            </w:pPr>
            <w:r/>
            <w:r>
              <w:rPr>
                <w:rFonts w:ascii="Georgia" w:hAnsi="Georgia"/>
                <w:sz w:val="18"/>
              </w:rPr>
              <w:t>A pass of the buildability review</w:t>
            </w:r>
          </w:p>
        </w:tc>
      </w:tr>
      <w:tr>
        <w:tc>
          <w:tcPr>
            <w:tcW w:type="dxa" w:w="3766"/>
            <w:tcBorders>
              <w:bottom w:val="single" w:sz="6" w:space="4" w:color="D8DCE3"/>
            </w:tcBorders>
          </w:tcPr>
          <w:p>
            <w:pPr>
              <w:spacing w:after="60"/>
            </w:pPr>
            <w:r/>
            <w:r>
              <w:rPr>
                <w:rFonts w:ascii="Georgia" w:hAnsi="Georgia"/>
                <w:sz w:val="18"/>
              </w:rPr>
              <w:t>Product manager</w:t>
            </w:r>
          </w:p>
        </w:tc>
        <w:tc>
          <w:tcPr>
            <w:tcW w:type="dxa" w:w="5249"/>
            <w:tcBorders>
              <w:bottom w:val="single" w:sz="6" w:space="4" w:color="D8DCE3"/>
            </w:tcBorders>
          </w:tcPr>
          <w:p>
            <w:pPr>
              <w:spacing w:after="60"/>
            </w:pPr>
            <w:r/>
            <w:r>
              <w:rPr>
                <w:rFonts w:ascii="Georgia" w:hAnsi="Georgia"/>
                <w:sz w:val="18"/>
              </w:rPr>
              <w:t>The sponsor</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Escalation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Satisfaction</w:t>
            </w:r>
          </w:p>
        </w:tc>
        <w:tc>
          <w:tcPr>
            <w:tcW w:type="dxa" w:w="5249"/>
            <w:tcBorders>
              <w:bottom w:val="single" w:sz="6" w:space="4" w:color="D8DCE3"/>
            </w:tcBorders>
          </w:tcPr>
          <w:p>
            <w:pPr>
              <w:spacing w:after="60"/>
            </w:pPr>
            <w:r/>
            <w:r>
              <w:rPr>
                <w:rFonts w:ascii="Georgia" w:hAnsi="Georgia"/>
                <w:sz w:val="18"/>
              </w:rPr>
              <w:t>A measure of the product</w:t>
            </w:r>
          </w:p>
        </w:tc>
      </w:tr>
      <w:tr>
        <w:tc>
          <w:tcPr>
            <w:tcW w:type="dxa" w:w="3766"/>
            <w:tcBorders>
              <w:bottom w:val="single" w:sz="6" w:space="4" w:color="D8DCE3"/>
            </w:tcBorders>
          </w:tcPr>
          <w:p>
            <w:pPr>
              <w:spacing w:after="60"/>
            </w:pPr>
            <w:r/>
            <w:r>
              <w:rPr>
                <w:rFonts w:ascii="Georgia" w:hAnsi="Georgia"/>
                <w:sz w:val="18"/>
              </w:rPr>
              <w:t>Pain point</w:t>
            </w:r>
          </w:p>
        </w:tc>
        <w:tc>
          <w:tcPr>
            <w:tcW w:type="dxa" w:w="5249"/>
            <w:tcBorders>
              <w:bottom w:val="single" w:sz="6" w:space="4" w:color="D8DCE3"/>
            </w:tcBorders>
          </w:tcPr>
          <w:p>
            <w:pPr>
              <w:spacing w:after="60"/>
            </w:pPr>
            <w:r/>
            <w:r>
              <w:rPr>
                <w:rFonts w:ascii="Georgia" w:hAnsi="Georgia"/>
                <w:sz w:val="18"/>
              </w:rPr>
              <w:t>The problem</w:t>
            </w:r>
          </w:p>
        </w:tc>
      </w:tr>
      <w:tr>
        <w:tc>
          <w:tcPr>
            <w:tcW w:type="dxa" w:w="3766"/>
            <w:tcBorders>
              <w:bottom w:val="single" w:sz="6" w:space="4" w:color="D8DCE3"/>
            </w:tcBorders>
          </w:tcPr>
          <w:p>
            <w:pPr>
              <w:spacing w:after="60"/>
            </w:pPr>
            <w:r/>
            <w:r>
              <w:rPr>
                <w:rFonts w:ascii="Georgia" w:hAnsi="Georgia"/>
                <w:sz w:val="18"/>
              </w:rPr>
              <w:t>Review comment</w:t>
            </w:r>
          </w:p>
        </w:tc>
        <w:tc>
          <w:tcPr>
            <w:tcW w:type="dxa" w:w="5249"/>
            <w:tcBorders>
              <w:bottom w:val="single" w:sz="6" w:space="4" w:color="D8DCE3"/>
            </w:tcBorders>
          </w:tcPr>
          <w:p>
            <w:pPr>
              <w:spacing w:after="60"/>
            </w:pPr>
            <w:r/>
            <w:r>
              <w:rPr>
                <w:rFonts w:ascii="Georgia" w:hAnsi="Georgia"/>
                <w:sz w:val="18"/>
              </w:rPr>
              <w:t>A finding</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path of stages a release completes, and scope is everything the release includes and leaves out along it.</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 The set as a whole reads as not yet approved, approved, approved with conditions, or rejected, by the approval recorded in section 15.</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edition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requirement, or review comment it depends on and a date, and only the approver who stated it clears it. When the sponsor approves while a review comment has no response, the sponsor states a condition on that comment, and the expert records it (FR-014).</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story or a feature. A requirement is stated in the PRD, and stories and features are derived from requirements in the backlog.</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gap is a thing the set leaves unsaid, and the buildability review reports each gap as a finding. A blocking defect is a finding that stops a section moving 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person decides every rule. A rule marked never delegated also has no agent proposal behind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Bet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outcome the product stakes itself on, stated in the root document's summary: what the expert reaches with the product. The summary's objective and measure say how anyone will know it happened.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summary</w:t>
            </w:r>
          </w:p>
          <w:p>
            <w:pPr>
              <w:spacing w:after="40"/>
              <w:ind w:left="173"/>
            </w:pPr>
            <w:r>
              <w:rPr>
                <w:rFonts w:ascii="Georgia" w:hAnsi="Georgia"/>
                <w:sz w:val="19"/>
              </w:rPr>
              <w:t>• objective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objective. An objective is measured, and the bet is the outcome the objective measures.</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condition a section meets before it moves to the state </w:t>
            </w:r>
            <w:r>
              <w:rPr>
                <w:rFonts w:ascii="Consolas" w:hAnsi="Consolas"/>
                <w:sz w:val="19"/>
              </w:rPr>
              <w:t>review</w:t>
            </w:r>
            <w:r>
              <w:rPr>
                <w:rFonts w:ascii="Georgia" w:hAnsi="Georgia"/>
                <w:sz w:val="19"/>
              </w:rPr>
              <w:t>: it meets the gate and the expert accepts it, or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propose. Section 10 marks for each trust rule whether an agent may propose its outcome, and the person the rule names still decides. A rule that is never delegated has no agent proposal at all.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inside the set without being able to change it, as REL-003 plans. No persona in release 1 is a reviewer. In release 1 a sponsor comments on an exported copy instead, as a review comment.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which a section enters once it is ready. In this state, someone other than the expert may read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proposes an outcome under a trust rule section 10 marks as delegable to an agent, such as TR-003's score and findings. The person the rule names accepts or refutes what it proposes.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Review comment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comment a person reading an exported copy leaves in that copy. In release 1 that person is the sponsor (FR-022). The expert brings it back into the set and records a response with one of three statuses: accepted, when the set changed because of it; declined, when the set did not change, with the reason; or answered, when it asked a question and the set did not need to change (FR-023). Until it has a response, it is open, which is not an open question in section 12.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exported copy</w:t>
            </w:r>
          </w:p>
          <w:p>
            <w:pPr>
              <w:spacing w:after="40"/>
              <w:ind w:left="173"/>
            </w:pPr>
            <w:r>
              <w:rPr>
                <w:rFonts w:ascii="Georgia" w:hAnsi="Georgia"/>
                <w:sz w:val="19"/>
              </w:rPr>
              <w:t>• sponsor</w:t>
            </w:r>
          </w:p>
          <w:p>
            <w:pPr>
              <w:spacing w:after="40"/>
              <w:ind w:left="173"/>
            </w:pPr>
            <w:r>
              <w:rPr>
                <w:rFonts w:ascii="Georgia" w:hAnsi="Georgia"/>
                <w:sz w:val="19"/>
              </w:rPr>
              <w:t>• finding</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A finding comes from a grading pass or a buildability review, and a review comment comes from a person reading a copy.</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pass. A set with gaps can pass the buildability review when every gap is closed or owned, and it is still not buildable while any gap is left.</w:t>
            </w:r>
          </w:p>
        </w:tc>
      </w:tr>
    </w:tbl>
    <w:p>
      <w:pPr>
        <w:spacing w:after="40"/>
      </w:pPr>
    </w:p>
    <w:p>
      <w:pPr>
        <w:keepNext/>
        <w:spacing w:before="220" w:after="60"/>
        <w:ind w:left="115"/>
        <w:pBdr>
          <w:left w:val="single" w:sz="18" w:space="0" w:color="1F4E79"/>
        </w:pBdr>
      </w:pPr>
      <w:r>
        <w:rPr>
          <w:rFonts w:ascii="Calibri" w:hAnsi="Calibri"/>
          <w:b/>
          <w:sz w:val="20"/>
        </w:rPr>
        <w:t>Product manager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writes product requirements for a living. PER-001 is a product manager who is, or speaks for, the domain expert, and the set calls that person the expert.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sponsor. A product manager writes the set, and the sponsor approves it.</w:t>
            </w:r>
          </w:p>
        </w:tc>
      </w:tr>
    </w:tbl>
    <w:p>
      <w:pPr>
        <w:spacing w:after="40"/>
      </w:pPr>
    </w:p>
    <w:p>
      <w:pPr>
        <w:keepNext/>
        <w:spacing w:before="220" w:after="60"/>
        <w:ind w:left="115"/>
        <w:pBdr>
          <w:left w:val="single" w:sz="18" w:space="0" w:color="1F4E79"/>
        </w:pBdr>
      </w:pPr>
      <w:r>
        <w:rPr>
          <w:rFonts w:ascii="Calibri" w:hAnsi="Calibri"/>
          <w:b/>
          <w:sz w:val="20"/>
        </w:rPr>
        <w:t>Re-grade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later grading pass on the same section, against the same rubric, after the section changed.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grading pass</w:t>
            </w:r>
          </w:p>
          <w:p>
            <w:pPr>
              <w:spacing w:after="40"/>
              <w:ind w:left="173"/>
            </w:pPr>
            <w:r>
              <w:rPr>
                <w:rFonts w:ascii="Georgia" w:hAnsi="Georgia"/>
                <w:sz w:val="19"/>
              </w:rPr>
              <w:t>• grade</w:t>
            </w:r>
          </w:p>
        </w:tc>
      </w:tr>
    </w:tbl>
    <w:p>
      <w:pPr>
        <w:spacing w:after="40"/>
      </w:pPr>
    </w:p>
    <w:p>
      <w:pPr>
        <w:keepNext/>
        <w:spacing w:before="220" w:after="60"/>
        <w:ind w:left="115"/>
        <w:pBdr>
          <w:left w:val="single" w:sz="18" w:space="0" w:color="1F4E79"/>
        </w:pBdr>
      </w:pPr>
      <w:r>
        <w:rPr>
          <w:rFonts w:ascii="Calibri" w:hAnsi="Calibri"/>
          <w:b/>
          <w:sz w:val="20"/>
        </w:rPr>
        <w:t>Escalation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happens to a decision when its decider is away or disagrees, as each trust rule in section 10 states.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decider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An open question waits for an answer. An escalation names who acts when the decider cannot.</w:t>
            </w:r>
          </w:p>
        </w:tc>
      </w:tr>
    </w:tbl>
    <w:p>
      <w:pPr>
        <w:spacing w:after="40"/>
      </w:pPr>
    </w:p>
    <w:p>
      <w:pPr>
        <w:keepNext/>
        <w:spacing w:before="220" w:after="60"/>
        <w:ind w:left="115"/>
        <w:pBdr>
          <w:left w:val="single" w:sz="18" w:space="0" w:color="1F4E79"/>
        </w:pBdr>
      </w:pPr>
      <w:r>
        <w:rPr>
          <w:rFonts w:ascii="Calibri" w:hAnsi="Calibri"/>
          <w:b/>
          <w:sz w:val="20"/>
        </w:rPr>
        <w:t>Satisfaction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one journey stage feels to the person today, from 1 (worst) to 5 (best), as the expert scores it in section 5. Only the expert gives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the product. The product never estimates it.</w:t>
            </w:r>
          </w:p>
        </w:tc>
      </w:tr>
    </w:tbl>
    <w:p>
      <w:pPr>
        <w:spacing w:after="40"/>
      </w:pPr>
    </w:p>
    <w:p>
      <w:pPr>
        <w:keepNext/>
        <w:spacing w:before="220" w:after="60"/>
        <w:ind w:left="115"/>
        <w:pBdr>
          <w:left w:val="single" w:sz="18" w:space="0" w:color="1F4E79"/>
        </w:pBdr>
      </w:pPr>
      <w:r>
        <w:rPr>
          <w:rFonts w:ascii="Calibri" w:hAnsi="Calibri"/>
          <w:b/>
          <w:sz w:val="20"/>
        </w:rPr>
        <w:t>Pain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is hard for a person at one journey stage today, recorded in section 5 with the need that answers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problem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problem in section 1. The problem is the whole cost. A pain point is one part of it at one stage.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bookmarkStart w:id="154" w:name="prd_forge_change_log"/>
      <w:r>
        <w:t>Change log and approvals</w:t>
      </w:r>
      <w:bookmarkEnd w:id="154"/>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0.12.0</w:t>
            </w:r>
          </w:p>
        </w:tc>
        <w:tc>
          <w:tcPr>
            <w:tcW w:type="dxa" w:w="1435"/>
            <w:tcBorders>
              <w:bottom w:val="single" w:sz="6" w:space="4" w:color="D8DCE3"/>
            </w:tcBorders>
          </w:tcPr>
          <w:p>
            <w:pPr>
              <w:spacing w:after="60"/>
            </w:pPr>
            <w:r/>
            <w:r>
              <w:rPr>
                <w:rFonts w:ascii="Georgia" w:hAnsi="Georgia"/>
                <w:sz w:val="18"/>
              </w:rPr>
              <w:t>2026-10-30</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The root names its approver by name and role (FR-021) and shows the approver the scope, each section's state and grade, the open questions, and any blocking defect (FR-013); TR-015 keeps the domain check's research on by default and lets the expert turn it off for a set, PER-001's authority includes that right, and an organization's own policy can forbid it; NFR-008 and A-005 state that default</w:t>
            </w:r>
          </w:p>
        </w:tc>
      </w:tr>
      <w:tr>
        <w:tc>
          <w:tcPr>
            <w:tcW w:type="dxa" w:w="1272"/>
            <w:tcBorders>
              <w:bottom w:val="single" w:sz="6" w:space="4" w:color="D8DCE3"/>
            </w:tcBorders>
          </w:tcPr>
          <w:p>
            <w:pPr>
              <w:spacing w:after="60"/>
            </w:pPr>
            <w:r/>
            <w:r>
              <w:rPr>
                <w:rFonts w:ascii="Georgia" w:hAnsi="Georgia"/>
                <w:sz w:val="18"/>
              </w:rPr>
              <w:t>0.11.0</w:t>
            </w:r>
          </w:p>
        </w:tc>
        <w:tc>
          <w:tcPr>
            <w:tcW w:type="dxa" w:w="1435"/>
            <w:tcBorders>
              <w:bottom w:val="single" w:sz="6" w:space="4" w:color="D8DCE3"/>
            </w:tcBorders>
          </w:tcPr>
          <w:p>
            <w:pPr>
              <w:spacing w:after="60"/>
            </w:pPr>
            <w:r/>
            <w:r>
              <w:rPr>
                <w:rFonts w:ascii="Georgia" w:hAnsi="Georgia"/>
                <w:sz w:val="18"/>
              </w:rPr>
              <w:t>2026-10-29</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FR-023 split out of FR-022 for the expert's import and response; the open-comment approval rule moved into FR-014, and the sponsor sets each condition's date; OUT-005 defers comments inside the set to REL-003; WF-011 shows an open comment; NFR-009 counts product releases; ST-009 hands off to the development team; section 10 says "delegable to an agent"; the glossary adds escalation, satisfaction, and pain point, and separates ready from review</w:t>
            </w:r>
          </w:p>
        </w:tc>
      </w:tr>
      <w:tr>
        <w:tc>
          <w:tcPr>
            <w:tcW w:type="dxa" w:w="1272"/>
            <w:tcBorders>
              <w:bottom w:val="single" w:sz="6" w:space="4" w:color="D8DCE3"/>
            </w:tcBorders>
          </w:tcPr>
          <w:p>
            <w:pPr>
              <w:spacing w:after="60"/>
            </w:pPr>
            <w:r/>
            <w:r>
              <w:rPr>
                <w:rFonts w:ascii="Georgia" w:hAnsi="Georgia"/>
                <w:sz w:val="18"/>
              </w:rPr>
              <w:t>0.10.0</w:t>
            </w:r>
          </w:p>
        </w:tc>
        <w:tc>
          <w:tcPr>
            <w:tcW w:type="dxa" w:w="1435"/>
            <w:tcBorders>
              <w:bottom w:val="single" w:sz="6" w:space="4" w:color="D8DCE3"/>
            </w:tcBorders>
          </w:tcPr>
          <w:p>
            <w:pPr>
              <w:spacing w:after="60"/>
            </w:pPr>
            <w:r/>
            <w:r>
              <w:rPr>
                <w:rFonts w:ascii="Georgia" w:hAnsi="Georgia"/>
                <w:sz w:val="18"/>
              </w:rPr>
              <w:t>2026-10-28</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FR-022 added as a should: a sponsor's comments on an exported copy come back, each with a response, and an open one at approval becomes a condition; WF-011 shows the answered copy; IN-007, REL-001, TR-001, and the glossary include it; REL-003 keeps comments inside the set</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requirement, or review comment the condition depends on, as FR-014 and FR-022 require. Only the approver who stated a condition clears it. A rejection records its reason.</w:t>
      </w:r>
    </w:p>
    <w:p>
      <w:r>
        <w:rPr>
          <w:rFonts w:ascii="Georgia" w:hAnsi="Georgia"/>
        </w:rPr>
        <w:t>At 0.9.0 the expert holds every other section to a score over 80, except section 2 until Q-004 and Q-005 are answered,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The root names its approver by name and role under FR-021, and its details block now carries what FR-013 asks the approver to see: the scope, each section's state and grade, every open question with its decider and date, and where any blocking defect is. TR-015 settles the domain check's research: on by default, carrying only the names of standards, terms of art, and the domain. The expert turns it off for a set, and PER-001's authority now includes that right. An organization's own policy can forbid it for every set. NFR-008 and A-005 state that default. A minor version under the versioning policy: new content, nothing structural.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2026-10-30</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FR-023 split out of FR-022: FR-022 is what the sponsor sees in the next copy, and FR-023 is how the expert brings the comments in and answers each one. The approval rule for an open comment moved into FR-014, and the sponsor sets each condition's date. OUT-005 defers comments inside the set to REL-003, which starts when OUT-002's condition holds. WF-011 shows an open comment. NFR-009 counts product releases, not versions of the set. Section 5 hands ST-009 to the development team, and section 10's table says "delegable to an agent" where it said "agent may decide". The glossary adds escalation, satisfaction, and pain point, and separates ready from review. A minor version under the versioning policy: new content, nothing structural.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2026-10-29</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FR-022 added as a should in REL-001: a sponsor comments on an exported copy without using the product, and the next copy shows each comment's response and what it changed. A comment with no response at approval becomes a condition under FR-014. WF-011 shows that copy. IN-007 and REL-001 include FR-022, REL-003 keeps comments inside the set, TR-001 lets a condition name a review comment, and the glossary defines a review comment. A minor version: new content, nothing structural, as Richard Hightower decided on 2026-10-28.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6"/>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0.12.0,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