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4</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50/100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77/100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30/100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6</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9C2B2B"/>
          <w:sz w:val="15"/>
        </w:rPr>
        <w:t>draft · 58/100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23)}</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9C2B2B"/>
          <w:sz w:val="15"/>
        </w:rPr>
        <w:t>draft · 50/100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78/100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9C2B2B"/>
          <w:sz w:val="15"/>
        </w:rPr>
        <w:t>draft · 30/100 · 2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9C2B2B"/>
          <w:sz w:val="15"/>
        </w:rPr>
        <w:t>draft · 79/100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55/100 · 6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r>
        <w:tc>
          <w:tcPr>
            <w:tcW w:type="dxa" w:w="4628"/>
            <w:tcBorders>
              <w:bottom w:val="single" w:sz="6" w:space="4" w:color="D8DCE3"/>
            </w:tcBorders>
          </w:tcPr>
          <w:p>
            <w:pPr>
              <w:spacing w:after="60"/>
            </w:pPr>
            <w:r/>
            <w:r>
              <w:rPr>
                <w:rFonts w:ascii="Georgia" w:hAnsi="Georgia"/>
                <w:sz w:val="18"/>
              </w:rPr>
              <w:t>Buildability review</w:t>
            </w:r>
          </w:p>
        </w:tc>
        <w:tc>
          <w:tcPr>
            <w:tcW w:type="dxa" w:w="4387"/>
            <w:tcBorders>
              <w:bottom w:val="single" w:sz="6" w:space="4" w:color="D8DCE3"/>
            </w:tcBorders>
          </w:tcPr>
          <w:p>
            <w:pPr>
              <w:spacing w:after="60"/>
            </w:pPr>
            <w:r/>
            <w:r>
              <w:rPr>
                <w:rFonts w:ascii="Georgia" w:hAnsi="Georgia"/>
                <w:sz w:val="18"/>
              </w:rPr>
              <w:t>A grading pass</w:t>
            </w:r>
          </w:p>
        </w:tc>
      </w:tr>
      <w:tr>
        <w:tc>
          <w:tcPr>
            <w:tcW w:type="dxa" w:w="4628"/>
            <w:tcBorders>
              <w:bottom w:val="single" w:sz="6" w:space="4" w:color="D8DCE3"/>
            </w:tcBorders>
          </w:tcPr>
          <w:p>
            <w:pPr>
              <w:spacing w:after="60"/>
            </w:pPr>
            <w:r/>
            <w:r>
              <w:rPr>
                <w:rFonts w:ascii="Georgia" w:hAnsi="Georgia"/>
                <w:sz w:val="18"/>
              </w:rPr>
              <w:t>Finding</w:t>
            </w:r>
          </w:p>
        </w:tc>
        <w:tc>
          <w:tcPr>
            <w:tcW w:type="dxa" w:w="4387"/>
            <w:tcBorders>
              <w:bottom w:val="single" w:sz="6" w:space="4" w:color="D8DCE3"/>
            </w:tcBorders>
          </w:tcPr>
          <w:p>
            <w:pPr>
              <w:spacing w:after="60"/>
            </w:pPr>
            <w:r/>
            <w:r>
              <w:rPr>
                <w:rFonts w:ascii="Georgia" w:hAnsi="Georgia"/>
                <w:sz w:val="18"/>
              </w:rPr>
              <w:t>A blocking defect</w:t>
            </w:r>
          </w:p>
        </w:tc>
      </w:tr>
      <w:tr>
        <w:tc>
          <w:tcPr>
            <w:tcW w:type="dxa" w:w="4628"/>
            <w:tcBorders>
              <w:bottom w:val="single" w:sz="6" w:space="4" w:color="D8DCE3"/>
            </w:tcBorders>
          </w:tcPr>
          <w:p>
            <w:pPr>
              <w:spacing w:after="60"/>
            </w:pPr>
            <w:r/>
            <w:r>
              <w:rPr>
                <w:rFonts w:ascii="Georgia" w:hAnsi="Georgia"/>
                <w:sz w:val="18"/>
              </w:rPr>
              <w:t>Root document</w:t>
            </w:r>
          </w:p>
        </w:tc>
        <w:tc>
          <w:tcPr>
            <w:tcW w:type="dxa" w:w="4387"/>
            <w:tcBorders>
              <w:bottom w:val="single" w:sz="6" w:space="4" w:color="D8DCE3"/>
            </w:tcBorders>
          </w:tcPr>
          <w:p>
            <w:pPr>
              <w:spacing w:after="60"/>
            </w:pPr>
            <w:r/>
            <w:r>
              <w:rPr>
                <w:rFonts w:ascii="Georgia" w:hAnsi="Georgia"/>
                <w:sz w:val="18"/>
              </w:rPr>
              <w:t>Section 1</w:t>
            </w:r>
          </w:p>
        </w:tc>
      </w:tr>
      <w:tr>
        <w:tc>
          <w:tcPr>
            <w:tcW w:type="dxa" w:w="4628"/>
            <w:tcBorders>
              <w:bottom w:val="single" w:sz="6" w:space="4" w:color="D8DCE3"/>
            </w:tcBorders>
          </w:tcPr>
          <w:p>
            <w:pPr>
              <w:spacing w:after="60"/>
            </w:pPr>
            <w:r/>
            <w:r>
              <w:rPr>
                <w:rFonts w:ascii="Georgia" w:hAnsi="Georgia"/>
                <w:sz w:val="18"/>
              </w:rPr>
              <w:t>Approver</w:t>
            </w:r>
          </w:p>
        </w:tc>
        <w:tc>
          <w:tcPr>
            <w:tcW w:type="dxa" w:w="4387"/>
            <w:tcBorders>
              <w:bottom w:val="single" w:sz="6" w:space="4" w:color="D8DCE3"/>
            </w:tcBorders>
          </w:tcPr>
          <w:p>
            <w:pPr>
              <w:spacing w:after="60"/>
            </w:pPr>
            <w:r/>
            <w:r>
              <w:rPr>
                <w:rFonts w:ascii="Georgia" w:hAnsi="Georgia"/>
                <w:sz w:val="18"/>
              </w:rPr>
              <w:t>The expert</w:t>
            </w:r>
          </w:p>
        </w:tc>
      </w:tr>
      <w:tr>
        <w:tc>
          <w:tcPr>
            <w:tcW w:type="dxa" w:w="4628"/>
            <w:tcBorders>
              <w:bottom w:val="single" w:sz="6" w:space="4" w:color="D8DCE3"/>
            </w:tcBorders>
          </w:tcPr>
          <w:p>
            <w:pPr>
              <w:spacing w:after="60"/>
            </w:pPr>
            <w:r/>
            <w:r>
              <w:rPr>
                <w:rFonts w:ascii="Georgia" w:hAnsi="Georgia"/>
                <w:sz w:val="18"/>
              </w:rPr>
              <w:t>Condition</w:t>
            </w:r>
          </w:p>
        </w:tc>
        <w:tc>
          <w:tcPr>
            <w:tcW w:type="dxa" w:w="4387"/>
            <w:tcBorders>
              <w:bottom w:val="single" w:sz="6" w:space="4" w:color="D8DCE3"/>
            </w:tcBorders>
          </w:tcPr>
          <w:p>
            <w:pPr>
              <w:spacing w:after="60"/>
            </w:pPr>
            <w:r/>
            <w:r>
              <w:rPr>
                <w:rFonts w:ascii="Georgia" w:hAnsi="Georgia"/>
                <w:sz w:val="18"/>
              </w:rPr>
              <w:t>A constraint</w:t>
            </w:r>
          </w:p>
        </w:tc>
      </w:tr>
      <w:tr>
        <w:tc>
          <w:tcPr>
            <w:tcW w:type="dxa" w:w="4628"/>
            <w:tcBorders>
              <w:bottom w:val="single" w:sz="6" w:space="4" w:color="D8DCE3"/>
            </w:tcBorders>
          </w:tcPr>
          <w:p>
            <w:pPr>
              <w:spacing w:after="60"/>
            </w:pPr>
            <w:r/>
            <w:r>
              <w:rPr>
                <w:rFonts w:ascii="Georgia" w:hAnsi="Georgia"/>
                <w:sz w:val="18"/>
              </w:rPr>
              <w:t>Constraint</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Objective</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Baseline</w:t>
            </w:r>
          </w:p>
        </w:tc>
        <w:tc>
          <w:tcPr>
            <w:tcW w:type="dxa" w:w="4387"/>
            <w:tcBorders>
              <w:bottom w:val="single" w:sz="6" w:space="4" w:color="D8DCE3"/>
            </w:tcBorders>
          </w:tcPr>
          <w:p>
            <w:pPr>
              <w:spacing w:after="60"/>
            </w:pPr>
            <w:r/>
            <w:r>
              <w:rPr>
                <w:rFonts w:ascii="Georgia" w:hAnsi="Georgia"/>
                <w:sz w:val="18"/>
              </w:rPr>
              <w:t>A target</w:t>
            </w:r>
          </w:p>
        </w:tc>
      </w:tr>
      <w:tr>
        <w:tc>
          <w:tcPr>
            <w:tcW w:type="dxa" w:w="4628"/>
            <w:tcBorders>
              <w:bottom w:val="single" w:sz="6" w:space="4" w:color="D8DCE3"/>
            </w:tcBorders>
          </w:tcPr>
          <w:p>
            <w:pPr>
              <w:spacing w:after="60"/>
            </w:pPr>
            <w:r/>
            <w:r>
              <w:rPr>
                <w:rFonts w:ascii="Georgia" w:hAnsi="Georgia"/>
                <w:sz w:val="18"/>
              </w:rPr>
              <w:t>Version</w:t>
            </w:r>
          </w:p>
        </w:tc>
        <w:tc>
          <w:tcPr>
            <w:tcW w:type="dxa" w:w="4387"/>
            <w:tcBorders>
              <w:bottom w:val="single" w:sz="6" w:space="4" w:color="D8DCE3"/>
            </w:tcBorders>
          </w:tcPr>
          <w:p>
            <w:pPr>
              <w:spacing w:after="60"/>
            </w:pPr>
            <w:r/>
            <w:r>
              <w:rPr>
                <w:rFonts w:ascii="Georgia" w:hAnsi="Georgia"/>
                <w:sz w:val="18"/>
              </w:rPr>
              <w:t>A release of the product</w:t>
            </w:r>
          </w:p>
        </w:tc>
      </w:tr>
      <w:tr>
        <w:tc>
          <w:tcPr>
            <w:tcW w:type="dxa" w:w="4628"/>
            <w:tcBorders>
              <w:bottom w:val="single" w:sz="6" w:space="4" w:color="D8DCE3"/>
            </w:tcBorders>
          </w:tcPr>
          <w:p>
            <w:pPr>
              <w:spacing w:after="60"/>
            </w:pPr>
            <w:r/>
            <w:r>
              <w:rPr>
                <w:rFonts w:ascii="Georgia" w:hAnsi="Georgia"/>
                <w:sz w:val="18"/>
              </w:rPr>
              <w:t>Reading order</w:t>
            </w:r>
          </w:p>
        </w:tc>
        <w:tc>
          <w:tcPr>
            <w:tcW w:type="dxa" w:w="4387"/>
            <w:tcBorders>
              <w:bottom w:val="single" w:sz="6" w:space="4" w:color="D8DCE3"/>
            </w:tcBorders>
          </w:tcPr>
          <w:p>
            <w:pPr>
              <w:spacing w:after="60"/>
            </w:pPr>
            <w:r/>
            <w:r>
              <w:rPr>
                <w:rFonts w:ascii="Georgia" w:hAnsi="Georgia"/>
                <w:sz w:val="18"/>
              </w:rPr>
              <w:t>The file numbers</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file numbers. File prefixes and section numbers differ from section 5 onward, but both put the documents in the same order.</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58/100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plugin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plugin.</w:t>
      </w:r>
    </w:p>
    <w:p>
      <w:pPr>
        <w:pStyle w:val="ListBullet"/>
        <w:spacing w:after="60"/>
      </w:pPr>
      <w:r>
        <w:t>A change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is a minor version, 0.9.0.</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C-004 leaves section 9, which now holds no constraints. Its rule lives in TR-005 and FR-006, and its id is not reused. The plugin's constraints schema accepts an empty list.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